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tabs>
          <w:tab w:val="left" w:pos="2666"/>
          <w:tab w:val="center" w:pos="4153"/>
        </w:tabs>
        <w:spacing w:line="300" w:lineRule="atLeast"/>
        <w:jc w:val="center"/>
        <w:rPr>
          <w:rFonts w:hint="eastAsia" w:ascii="方正小标宋_GBK" w:hAnsi="方正小标宋_GBK" w:eastAsia="方正小标宋_GBK" w:cs="方正小标宋_GBK"/>
          <w:b w:val="0"/>
          <w:bCs/>
          <w:kern w:val="0"/>
          <w:sz w:val="44"/>
          <w:szCs w:val="44"/>
        </w:rPr>
      </w:pPr>
      <w:r>
        <w:rPr>
          <w:rFonts w:hint="eastAsia" w:ascii="方正小标宋_GBK" w:hAnsi="方正小标宋_GBK" w:eastAsia="方正小标宋_GBK" w:cs="方正小标宋_GBK"/>
          <w:b w:val="0"/>
          <w:bCs/>
          <w:kern w:val="0"/>
          <w:sz w:val="44"/>
          <w:szCs w:val="44"/>
        </w:rPr>
        <w:t>临江市成品粮油应急储备管理实施意见</w:t>
      </w:r>
    </w:p>
    <w:p>
      <w:pPr>
        <w:widowControl/>
        <w:shd w:val="clear" w:color="auto" w:fill="FFFFFF"/>
        <w:tabs>
          <w:tab w:val="left" w:pos="2666"/>
          <w:tab w:val="center" w:pos="4153"/>
        </w:tabs>
        <w:spacing w:line="300" w:lineRule="atLeast"/>
        <w:jc w:val="center"/>
        <w:rPr>
          <w:rFonts w:hint="eastAsia" w:ascii="方正小标宋_GBK" w:hAnsi="方正小标宋_GBK" w:eastAsia="方正小标宋_GBK" w:cs="方正小标宋_GBK"/>
          <w:b w:val="0"/>
          <w:bCs/>
          <w:kern w:val="0"/>
          <w:sz w:val="44"/>
          <w:szCs w:val="44"/>
        </w:rPr>
      </w:pPr>
      <w:r>
        <w:rPr>
          <w:rFonts w:hint="eastAsia" w:ascii="方正小标宋_GBK" w:hAnsi="方正小标宋_GBK" w:eastAsia="方正小标宋_GBK" w:cs="方正小标宋_GBK"/>
          <w:b w:val="0"/>
          <w:bCs/>
          <w:kern w:val="0"/>
          <w:sz w:val="44"/>
          <w:szCs w:val="44"/>
        </w:rPr>
        <w:t>（征求意见稿）</w:t>
      </w:r>
    </w:p>
    <w:p>
      <w:pPr>
        <w:widowControl/>
        <w:shd w:val="clear" w:color="auto" w:fill="FFFFFF"/>
        <w:spacing w:line="300" w:lineRule="atLeast"/>
        <w:rPr>
          <w:rFonts w:ascii="仿宋_GB2312" w:hAnsi="仿宋" w:eastAsia="仿宋_GB2312" w:cs="宋体"/>
          <w:kern w:val="0"/>
          <w:szCs w:val="21"/>
        </w:rPr>
      </w:pPr>
      <w:bookmarkStart w:id="0" w:name="_GoBack"/>
      <w:bookmarkEnd w:id="0"/>
    </w:p>
    <w:p>
      <w:pPr>
        <w:widowControl/>
        <w:shd w:val="clear" w:color="auto" w:fill="FFFFFF"/>
        <w:spacing w:line="560" w:lineRule="exact"/>
        <w:ind w:firstLine="640" w:firstLineChars="200"/>
        <w:jc w:val="left"/>
        <w:rPr>
          <w:rFonts w:ascii="仿宋_GB2312" w:hAnsi="仿宋" w:eastAsia="仿宋_GB2312" w:cs="宋体"/>
          <w:kern w:val="0"/>
          <w:szCs w:val="21"/>
        </w:rPr>
      </w:pPr>
      <w:r>
        <w:rPr>
          <w:rFonts w:hint="eastAsia" w:ascii="仿宋_GB2312" w:hAnsi="仿宋" w:eastAsia="仿宋_GB2312" w:cs="宋体"/>
          <w:kern w:val="0"/>
          <w:sz w:val="32"/>
          <w:szCs w:val="32"/>
        </w:rPr>
        <w:t>为落实《白山市粮食应急预案》及</w:t>
      </w:r>
      <w:r>
        <w:rPr>
          <w:rFonts w:hint="eastAsia" w:ascii="仿宋_GB2312" w:hAnsi="仿宋_GB2312" w:eastAsia="仿宋_GB2312" w:cs="仿宋_GB2312"/>
          <w:sz w:val="32"/>
          <w:szCs w:val="32"/>
        </w:rPr>
        <w:t>《临江市人民政府关于进一步落实粮食安全市长责任制的实施意见》</w:t>
      </w:r>
      <w:r>
        <w:rPr>
          <w:rFonts w:hint="eastAsia" w:ascii="仿宋_GB2312" w:hAnsi="仿宋" w:eastAsia="仿宋_GB2312" w:cs="宋体"/>
          <w:kern w:val="0"/>
          <w:sz w:val="32"/>
          <w:szCs w:val="32"/>
        </w:rPr>
        <w:t>要求，构筑我市成品粮储备体系，</w:t>
      </w:r>
      <w:r>
        <w:rPr>
          <w:rFonts w:hint="eastAsia" w:ascii="仿宋_GB2312" w:hAnsi="仿宋" w:eastAsia="仿宋_GB2312" w:cs="Arial"/>
          <w:bCs/>
          <w:smallCaps/>
          <w:kern w:val="0"/>
          <w:sz w:val="32"/>
          <w:szCs w:val="32"/>
        </w:rPr>
        <w:t>强化政府调控粮食市场的手段和应急处置能力，</w:t>
      </w:r>
      <w:r>
        <w:rPr>
          <w:rFonts w:hint="eastAsia" w:ascii="仿宋_GB2312" w:hAnsi="仿宋" w:eastAsia="仿宋_GB2312" w:cs="宋体"/>
          <w:kern w:val="0"/>
          <w:sz w:val="32"/>
          <w:szCs w:val="32"/>
        </w:rPr>
        <w:t>确保应急期内粮食市场供应和价格基本稳定。</w:t>
      </w:r>
      <w:r>
        <w:rPr>
          <w:rFonts w:ascii="仿宋_GB2312" w:hAnsi="仿宋" w:eastAsia="仿宋_GB2312" w:cs="宋体"/>
          <w:kern w:val="0"/>
          <w:sz w:val="32"/>
          <w:szCs w:val="32"/>
        </w:rPr>
        <w:t xml:space="preserve"> </w:t>
      </w:r>
    </w:p>
    <w:p>
      <w:pPr>
        <w:spacing w:line="560" w:lineRule="exact"/>
        <w:ind w:firstLine="640" w:firstLineChars="200"/>
        <w:rPr>
          <w:rFonts w:ascii="黑体" w:hAnsi="黑体" w:eastAsia="黑体"/>
          <w:bCs/>
          <w:sz w:val="32"/>
          <w:szCs w:val="32"/>
        </w:rPr>
      </w:pPr>
      <w:r>
        <w:rPr>
          <w:rFonts w:hint="eastAsia" w:ascii="黑体" w:hAnsi="黑体" w:eastAsia="黑体"/>
          <w:bCs/>
          <w:sz w:val="32"/>
          <w:szCs w:val="32"/>
        </w:rPr>
        <w:t>一、应急储备供应覆盖范围及品种、数量</w:t>
      </w:r>
    </w:p>
    <w:p>
      <w:pPr>
        <w:spacing w:line="560" w:lineRule="exact"/>
        <w:ind w:firstLine="640" w:firstLineChars="200"/>
        <w:rPr>
          <w:rFonts w:ascii="仿宋_GB2312" w:hAnsi="仿宋" w:eastAsia="仿宋_GB2312"/>
          <w:b/>
          <w:sz w:val="32"/>
          <w:szCs w:val="32"/>
        </w:rPr>
      </w:pPr>
      <w:r>
        <w:rPr>
          <w:rFonts w:hint="eastAsia" w:ascii="仿宋_GB2312" w:hAnsi="仿宋" w:eastAsia="仿宋_GB2312"/>
          <w:sz w:val="32"/>
          <w:szCs w:val="32"/>
        </w:rPr>
        <w:t>覆盖范围：建立市本级的成品粮油应急储备，计划供应区域为全市范围内，应急供应天数为</w:t>
      </w:r>
      <w:r>
        <w:rPr>
          <w:rFonts w:ascii="仿宋_GB2312" w:hAnsi="仿宋" w:eastAsia="仿宋_GB2312"/>
          <w:sz w:val="32"/>
          <w:szCs w:val="32"/>
        </w:rPr>
        <w:t>15</w:t>
      </w:r>
      <w:r>
        <w:rPr>
          <w:rFonts w:hint="eastAsia" w:ascii="仿宋_GB2312" w:hAnsi="仿宋" w:eastAsia="仿宋_GB2312"/>
          <w:sz w:val="32"/>
          <w:szCs w:val="32"/>
        </w:rPr>
        <w:t>天。</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储备品种：大米（</w:t>
      </w:r>
      <w:r>
        <w:rPr>
          <w:rFonts w:ascii="仿宋_GB2312" w:hAnsi="仿宋" w:eastAsia="仿宋_GB2312"/>
          <w:sz w:val="32"/>
          <w:szCs w:val="32"/>
        </w:rPr>
        <w:t>GB1354-2009</w:t>
      </w:r>
      <w:r>
        <w:rPr>
          <w:rFonts w:hint="eastAsia" w:ascii="仿宋_GB2312" w:hAnsi="仿宋" w:eastAsia="仿宋_GB2312"/>
          <w:sz w:val="32"/>
          <w:szCs w:val="32"/>
        </w:rPr>
        <w:t>二等及以上）、面粉（</w:t>
      </w:r>
      <w:r>
        <w:rPr>
          <w:rFonts w:ascii="仿宋_GB2312" w:hAnsi="仿宋" w:eastAsia="仿宋_GB2312"/>
          <w:sz w:val="32"/>
          <w:szCs w:val="32"/>
        </w:rPr>
        <w:t>GB1355-86</w:t>
      </w:r>
      <w:r>
        <w:rPr>
          <w:rFonts w:hint="eastAsia" w:ascii="仿宋_GB2312" w:hAnsi="仿宋" w:eastAsia="仿宋_GB2312"/>
          <w:sz w:val="32"/>
          <w:szCs w:val="32"/>
        </w:rPr>
        <w:t>特制二等及以上）、豆油（</w:t>
      </w:r>
      <w:r>
        <w:rPr>
          <w:rFonts w:ascii="仿宋_GB2312" w:hAnsi="仿宋" w:eastAsia="仿宋_GB2312"/>
          <w:sz w:val="32"/>
          <w:szCs w:val="32"/>
        </w:rPr>
        <w:t>GB1535-2003</w:t>
      </w:r>
      <w:r>
        <w:rPr>
          <w:rFonts w:hint="eastAsia" w:ascii="仿宋_GB2312" w:hAnsi="仿宋" w:eastAsia="仿宋_GB2312"/>
          <w:sz w:val="32"/>
          <w:szCs w:val="32"/>
        </w:rPr>
        <w:t>三等及以上）。</w:t>
      </w:r>
    </w:p>
    <w:p>
      <w:pPr>
        <w:ind w:firstLine="640" w:firstLineChars="200"/>
        <w:rPr>
          <w:rFonts w:ascii="仿宋_GB2312" w:hAnsi="仿宋" w:eastAsia="仿宋_GB2312"/>
          <w:sz w:val="32"/>
          <w:szCs w:val="32"/>
        </w:rPr>
      </w:pPr>
      <w:r>
        <w:rPr>
          <w:rFonts w:hint="eastAsia" w:ascii="仿宋_GB2312" w:hAnsi="仿宋" w:eastAsia="仿宋_GB2312"/>
          <w:sz w:val="32"/>
          <w:szCs w:val="32"/>
        </w:rPr>
        <w:t>储备计量：人均日食用粮油</w:t>
      </w:r>
      <w:r>
        <w:rPr>
          <w:rFonts w:ascii="仿宋_GB2312" w:hAnsi="仿宋" w:eastAsia="仿宋_GB2312"/>
          <w:sz w:val="32"/>
          <w:szCs w:val="32"/>
        </w:rPr>
        <w:t>0.75</w:t>
      </w:r>
      <w:r>
        <w:rPr>
          <w:rFonts w:hint="eastAsia" w:ascii="仿宋_GB2312" w:hAnsi="仿宋" w:eastAsia="仿宋_GB2312"/>
          <w:sz w:val="32"/>
          <w:szCs w:val="32"/>
        </w:rPr>
        <w:t>市斤，其中：大米</w:t>
      </w:r>
      <w:r>
        <w:rPr>
          <w:rFonts w:ascii="仿宋_GB2312" w:hAnsi="仿宋" w:eastAsia="仿宋_GB2312"/>
          <w:sz w:val="32"/>
          <w:szCs w:val="32"/>
        </w:rPr>
        <w:t>0.5</w:t>
      </w:r>
      <w:r>
        <w:rPr>
          <w:rFonts w:hint="eastAsia" w:ascii="仿宋_GB2312" w:hAnsi="仿宋" w:eastAsia="仿宋_GB2312"/>
          <w:sz w:val="32"/>
          <w:szCs w:val="32"/>
        </w:rPr>
        <w:t>市斤、面粉</w:t>
      </w:r>
      <w:r>
        <w:rPr>
          <w:rFonts w:ascii="仿宋_GB2312" w:hAnsi="仿宋" w:eastAsia="仿宋_GB2312"/>
          <w:sz w:val="32"/>
          <w:szCs w:val="32"/>
        </w:rPr>
        <w:t>0.2</w:t>
      </w:r>
      <w:r>
        <w:rPr>
          <w:rFonts w:hint="eastAsia" w:ascii="仿宋_GB2312" w:hAnsi="仿宋" w:eastAsia="仿宋_GB2312"/>
          <w:sz w:val="32"/>
          <w:szCs w:val="32"/>
        </w:rPr>
        <w:t>市斤、豆油</w:t>
      </w:r>
      <w:r>
        <w:rPr>
          <w:rFonts w:ascii="仿宋_GB2312" w:hAnsi="仿宋" w:eastAsia="仿宋_GB2312"/>
          <w:sz w:val="32"/>
          <w:szCs w:val="32"/>
        </w:rPr>
        <w:t>0.05</w:t>
      </w:r>
      <w:r>
        <w:rPr>
          <w:rFonts w:hint="eastAsia" w:ascii="仿宋_GB2312" w:hAnsi="仿宋" w:eastAsia="仿宋_GB2312"/>
          <w:sz w:val="32"/>
          <w:szCs w:val="32"/>
        </w:rPr>
        <w:t>市斤。按照</w:t>
      </w:r>
      <w:r>
        <w:rPr>
          <w:rFonts w:hint="eastAsia" w:ascii="仿宋_GB2312" w:hAnsi="宋体" w:eastAsia="仿宋_GB2312"/>
          <w:sz w:val="32"/>
          <w:szCs w:val="32"/>
        </w:rPr>
        <w:t>全市</w:t>
      </w:r>
      <w:r>
        <w:rPr>
          <w:rFonts w:ascii="仿宋_GB2312" w:hAnsi="宋体" w:eastAsia="仿宋_GB2312"/>
          <w:sz w:val="32"/>
          <w:szCs w:val="32"/>
        </w:rPr>
        <w:t>15</w:t>
      </w:r>
      <w:r>
        <w:rPr>
          <w:rFonts w:hint="eastAsia" w:ascii="仿宋_GB2312" w:hAnsi="宋体" w:eastAsia="仿宋_GB2312"/>
          <w:sz w:val="32"/>
          <w:szCs w:val="32"/>
        </w:rPr>
        <w:t>天粮油储备量计算。</w:t>
      </w:r>
    </w:p>
    <w:p>
      <w:pPr>
        <w:widowControl/>
        <w:shd w:val="clear" w:color="auto" w:fill="FFFFFF"/>
        <w:spacing w:line="560" w:lineRule="exact"/>
        <w:ind w:firstLine="630"/>
        <w:jc w:val="left"/>
        <w:rPr>
          <w:rFonts w:ascii="黑体" w:hAnsi="黑体" w:eastAsia="黑体" w:cs="宋体"/>
          <w:bCs/>
          <w:kern w:val="0"/>
          <w:sz w:val="32"/>
          <w:szCs w:val="32"/>
        </w:rPr>
      </w:pPr>
      <w:r>
        <w:rPr>
          <w:rFonts w:hint="eastAsia" w:ascii="黑体" w:hAnsi="黑体" w:eastAsia="黑体" w:cs="宋体"/>
          <w:bCs/>
          <w:kern w:val="0"/>
          <w:sz w:val="32"/>
          <w:szCs w:val="32"/>
        </w:rPr>
        <w:t>二、应急粮油承储企业的确定</w:t>
      </w:r>
    </w:p>
    <w:p>
      <w:pPr>
        <w:widowControl/>
        <w:shd w:val="clear" w:color="auto" w:fill="FFFFFF"/>
        <w:spacing w:line="560" w:lineRule="exact"/>
        <w:ind w:firstLine="630"/>
        <w:jc w:val="left"/>
        <w:rPr>
          <w:rFonts w:ascii="仿宋_GB2312" w:hAnsi="仿宋" w:eastAsia="仿宋_GB2312"/>
          <w:sz w:val="32"/>
          <w:szCs w:val="32"/>
        </w:rPr>
      </w:pPr>
      <w:r>
        <w:rPr>
          <w:rFonts w:hint="eastAsia" w:ascii="仿宋_GB2312" w:hAnsi="仿宋" w:eastAsia="仿宋_GB2312"/>
          <w:sz w:val="32"/>
          <w:szCs w:val="32"/>
        </w:rPr>
        <w:t>应急成品粮油承储企业必须满足以下条件：</w:t>
      </w:r>
    </w:p>
    <w:p>
      <w:pPr>
        <w:widowControl/>
        <w:numPr>
          <w:ilvl w:val="0"/>
          <w:numId w:val="1"/>
        </w:numPr>
        <w:shd w:val="clear" w:color="auto" w:fill="FFFFFF"/>
        <w:spacing w:line="560" w:lineRule="exact"/>
        <w:ind w:firstLine="630"/>
        <w:jc w:val="left"/>
        <w:rPr>
          <w:rFonts w:ascii="仿宋_GB2312" w:hAnsi="仿宋" w:eastAsia="仿宋_GB2312"/>
          <w:sz w:val="32"/>
          <w:szCs w:val="32"/>
        </w:rPr>
      </w:pPr>
      <w:r>
        <w:rPr>
          <w:rFonts w:hint="eastAsia" w:ascii="仿宋_GB2312" w:hAnsi="仿宋" w:eastAsia="仿宋_GB2312"/>
          <w:sz w:val="32"/>
          <w:szCs w:val="32"/>
        </w:rPr>
        <w:t>具有在应急状态下完成应急粮油供应的能力。</w:t>
      </w:r>
    </w:p>
    <w:p>
      <w:pPr>
        <w:widowControl/>
        <w:shd w:val="clear" w:color="auto" w:fill="FFFFFF"/>
        <w:spacing w:line="560" w:lineRule="exact"/>
        <w:ind w:firstLine="640" w:firstLineChars="200"/>
        <w:jc w:val="left"/>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、经营的粮油产品各项质量指标必须符合国家标准。经营的米、面、油产品必须经过质量安全认证，有</w:t>
      </w:r>
      <w:r>
        <w:rPr>
          <w:rFonts w:ascii="仿宋_GB2312" w:hAnsi="仿宋" w:eastAsia="仿宋_GB2312"/>
          <w:sz w:val="32"/>
          <w:szCs w:val="32"/>
        </w:rPr>
        <w:t>QS</w:t>
      </w:r>
      <w:r>
        <w:rPr>
          <w:rFonts w:hint="eastAsia" w:ascii="仿宋_GB2312" w:hAnsi="仿宋" w:eastAsia="仿宋_GB2312"/>
          <w:sz w:val="32"/>
          <w:szCs w:val="32"/>
        </w:rPr>
        <w:t>标志</w:t>
      </w:r>
      <w:r>
        <w:rPr>
          <w:rFonts w:ascii="仿宋_GB2312" w:hAnsi="仿宋" w:eastAsia="仿宋_GB2312"/>
          <w:sz w:val="32"/>
          <w:szCs w:val="32"/>
        </w:rPr>
        <w:t>,</w:t>
      </w:r>
      <w:r>
        <w:rPr>
          <w:rFonts w:hint="eastAsia" w:ascii="仿宋_GB2312" w:hAnsi="仿宋" w:eastAsia="仿宋_GB2312"/>
          <w:sz w:val="32"/>
          <w:szCs w:val="32"/>
        </w:rPr>
        <w:t>标签标识符合国家食品标签标准要求。</w:t>
      </w:r>
    </w:p>
    <w:p>
      <w:pPr>
        <w:widowControl/>
        <w:shd w:val="clear" w:color="auto" w:fill="FFFFFF"/>
        <w:spacing w:line="560" w:lineRule="exact"/>
        <w:ind w:firstLine="640" w:firstLineChars="200"/>
        <w:jc w:val="left"/>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、进货证明</w:t>
      </w:r>
      <w:r>
        <w:rPr>
          <w:rFonts w:ascii="仿宋_GB2312" w:hAnsi="仿宋" w:eastAsia="仿宋_GB2312"/>
          <w:sz w:val="32"/>
          <w:szCs w:val="32"/>
        </w:rPr>
        <w:t>(</w:t>
      </w:r>
      <w:r>
        <w:rPr>
          <w:rFonts w:hint="eastAsia" w:ascii="仿宋_GB2312" w:hAnsi="仿宋" w:eastAsia="仿宋_GB2312"/>
          <w:sz w:val="32"/>
          <w:szCs w:val="32"/>
        </w:rPr>
        <w:t>进货发票、检验报告</w:t>
      </w:r>
      <w:r>
        <w:rPr>
          <w:rFonts w:ascii="仿宋_GB2312" w:hAnsi="仿宋" w:eastAsia="仿宋_GB2312"/>
          <w:sz w:val="32"/>
          <w:szCs w:val="32"/>
        </w:rPr>
        <w:t>)</w:t>
      </w:r>
      <w:r>
        <w:rPr>
          <w:rFonts w:hint="eastAsia" w:ascii="仿宋_GB2312" w:hAnsi="仿宋" w:eastAsia="仿宋_GB2312"/>
          <w:sz w:val="32"/>
          <w:szCs w:val="32"/>
        </w:rPr>
        <w:t>齐全并建立进出商品明细台帐和统计台账</w:t>
      </w:r>
      <w:r>
        <w:rPr>
          <w:rFonts w:ascii="仿宋_GB2312" w:hAnsi="仿宋" w:eastAsia="仿宋_GB2312"/>
          <w:sz w:val="32"/>
          <w:szCs w:val="32"/>
        </w:rPr>
        <w:t>;</w:t>
      </w:r>
      <w:r>
        <w:rPr>
          <w:rFonts w:hint="eastAsia" w:ascii="仿宋_GB2312" w:hAnsi="仿宋" w:eastAsia="仿宋_GB2312"/>
          <w:sz w:val="32"/>
          <w:szCs w:val="32"/>
        </w:rPr>
        <w:t>计量管理及计量器具符合有关法律法规规定。</w:t>
      </w:r>
    </w:p>
    <w:p>
      <w:pPr>
        <w:widowControl/>
        <w:shd w:val="clear" w:color="auto" w:fill="FFFFFF"/>
        <w:spacing w:line="560" w:lineRule="exact"/>
        <w:ind w:firstLine="640" w:firstLineChars="200"/>
        <w:jc w:val="left"/>
        <w:rPr>
          <w:rFonts w:ascii="仿宋_GB2312" w:hAnsi="仿宋" w:eastAsia="仿宋_GB2312" w:cs="宋体"/>
          <w:kern w:val="0"/>
          <w:sz w:val="32"/>
          <w:szCs w:val="32"/>
        </w:rPr>
      </w:pPr>
      <w:r>
        <w:rPr>
          <w:rFonts w:ascii="仿宋_GB2312" w:hAnsi="仿宋" w:eastAsia="仿宋_GB2312"/>
          <w:sz w:val="32"/>
          <w:szCs w:val="32"/>
        </w:rPr>
        <w:t>4</w:t>
      </w:r>
      <w:r>
        <w:rPr>
          <w:rFonts w:hint="eastAsia" w:ascii="仿宋_GB2312" w:hAnsi="仿宋" w:eastAsia="仿宋_GB2312"/>
          <w:sz w:val="32"/>
          <w:szCs w:val="32"/>
        </w:rPr>
        <w:t>、具有良好的商业信誉和健全的财务会计制度。</w:t>
      </w:r>
    </w:p>
    <w:p>
      <w:pPr>
        <w:spacing w:line="560" w:lineRule="exact"/>
        <w:ind w:firstLine="640" w:firstLineChars="200"/>
        <w:rPr>
          <w:rFonts w:ascii="仿宋_GB2312" w:hAnsi="仿宋" w:eastAsia="仿宋_GB2312" w:cs="Arial"/>
          <w:kern w:val="0"/>
          <w:sz w:val="32"/>
          <w:szCs w:val="32"/>
        </w:rPr>
      </w:pPr>
      <w:r>
        <w:rPr>
          <w:rFonts w:hint="eastAsia" w:ascii="仿宋_GB2312" w:hAnsi="仿宋" w:eastAsia="仿宋_GB2312" w:cs="Arial"/>
          <w:bCs/>
          <w:smallCaps/>
          <w:kern w:val="0"/>
          <w:sz w:val="32"/>
          <w:szCs w:val="32"/>
        </w:rPr>
        <w:t>市商务局与市财政局根据承储单位的条件，审核确认我市</w:t>
      </w:r>
      <w:r>
        <w:rPr>
          <w:rFonts w:ascii="仿宋_GB2312" w:hAnsi="仿宋" w:eastAsia="仿宋_GB2312" w:cs="Arial"/>
          <w:bCs/>
          <w:smallCaps/>
          <w:kern w:val="0"/>
          <w:sz w:val="32"/>
          <w:szCs w:val="32"/>
        </w:rPr>
        <w:t>13</w:t>
      </w:r>
      <w:r>
        <w:rPr>
          <w:rFonts w:hint="eastAsia" w:ascii="仿宋_GB2312" w:hAnsi="仿宋" w:eastAsia="仿宋_GB2312" w:cs="Arial"/>
          <w:bCs/>
          <w:smallCaps/>
          <w:kern w:val="0"/>
          <w:sz w:val="32"/>
          <w:szCs w:val="32"/>
        </w:rPr>
        <w:t>乡、镇、街有一定规模的粮油经营业户为应急承储企业，</w:t>
      </w:r>
      <w:r>
        <w:rPr>
          <w:rFonts w:hint="eastAsia" w:ascii="仿宋_GB2312" w:hAnsi="仿宋" w:eastAsia="仿宋_GB2312" w:cs="Arial"/>
          <w:kern w:val="0"/>
          <w:sz w:val="32"/>
          <w:szCs w:val="32"/>
        </w:rPr>
        <w:t>承储企业对承储任务采取“先进后出”方式纳入企业正常经营。</w:t>
      </w:r>
    </w:p>
    <w:p>
      <w:pPr>
        <w:spacing w:line="560" w:lineRule="exact"/>
        <w:ind w:firstLine="800" w:firstLineChars="250"/>
        <w:rPr>
          <w:rFonts w:ascii="黑体" w:hAnsi="黑体" w:eastAsia="黑体"/>
          <w:bCs/>
          <w:sz w:val="32"/>
          <w:szCs w:val="32"/>
        </w:rPr>
      </w:pPr>
      <w:r>
        <w:rPr>
          <w:rFonts w:hint="eastAsia" w:ascii="黑体" w:hAnsi="黑体" w:eastAsia="黑体"/>
          <w:bCs/>
          <w:sz w:val="32"/>
          <w:szCs w:val="32"/>
        </w:rPr>
        <w:t>三、储备方式</w:t>
      </w:r>
    </w:p>
    <w:p>
      <w:pPr>
        <w:spacing w:line="5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本着节约、灵活、实效的原则，结合我市情况，采取提前预购</w:t>
      </w:r>
      <w:r>
        <w:rPr>
          <w:rFonts w:ascii="仿宋_GB2312" w:hAnsi="仿宋" w:eastAsia="仿宋_GB2312" w:cs="宋体"/>
          <w:kern w:val="0"/>
          <w:sz w:val="32"/>
          <w:szCs w:val="32"/>
        </w:rPr>
        <w:t>—</w:t>
      </w:r>
      <w:r>
        <w:rPr>
          <w:rFonts w:hint="eastAsia" w:ascii="仿宋_GB2312" w:hAnsi="仿宋" w:eastAsia="仿宋_GB2312" w:cs="宋体"/>
          <w:kern w:val="0"/>
          <w:sz w:val="32"/>
          <w:szCs w:val="32"/>
        </w:rPr>
        <w:t>锁定库存</w:t>
      </w:r>
      <w:r>
        <w:rPr>
          <w:rFonts w:ascii="仿宋_GB2312" w:hAnsi="仿宋" w:eastAsia="仿宋_GB2312" w:cs="宋体"/>
          <w:kern w:val="0"/>
          <w:sz w:val="32"/>
          <w:szCs w:val="32"/>
        </w:rPr>
        <w:t>—</w:t>
      </w:r>
      <w:r>
        <w:rPr>
          <w:rFonts w:hint="eastAsia" w:ascii="仿宋_GB2312" w:hAnsi="仿宋" w:eastAsia="仿宋_GB2312" w:cs="宋体"/>
          <w:kern w:val="0"/>
          <w:sz w:val="32"/>
          <w:szCs w:val="32"/>
        </w:rPr>
        <w:t>政府监管的</w:t>
      </w:r>
      <w:r>
        <w:rPr>
          <w:rFonts w:hint="eastAsia" w:ascii="仿宋_GB2312" w:hAnsi="仿宋" w:eastAsia="仿宋_GB2312" w:cs="微软雅黑"/>
          <w:kern w:val="0"/>
          <w:sz w:val="32"/>
          <w:szCs w:val="32"/>
        </w:rPr>
        <w:t>动态存储</w:t>
      </w:r>
      <w:r>
        <w:rPr>
          <w:rFonts w:hint="eastAsia" w:ascii="仿宋_GB2312" w:hAnsi="仿宋" w:eastAsia="仿宋_GB2312" w:cs="宋体"/>
          <w:kern w:val="0"/>
          <w:sz w:val="32"/>
          <w:szCs w:val="32"/>
        </w:rPr>
        <w:t>模式。</w:t>
      </w:r>
      <w:r>
        <w:rPr>
          <w:rFonts w:hint="eastAsia" w:ascii="仿宋_GB2312" w:hAnsi="仿宋" w:eastAsia="仿宋_GB2312" w:cs="Arial"/>
          <w:kern w:val="0"/>
          <w:sz w:val="32"/>
          <w:szCs w:val="32"/>
        </w:rPr>
        <w:t>由市商务局代表市政府与承储企业签订预购合同，</w:t>
      </w:r>
      <w:r>
        <w:rPr>
          <w:rFonts w:hint="eastAsia" w:ascii="仿宋_GB2312" w:hAnsi="仿宋" w:eastAsia="仿宋_GB2312" w:cs="宋体"/>
          <w:kern w:val="0"/>
          <w:sz w:val="32"/>
          <w:szCs w:val="32"/>
        </w:rPr>
        <w:t>锁定应急供应粮油数量。在日常情况下，政府不干涉企业正常经营，粮油所有权属于企业，政府加强对预购应急粮油数量、质量的监管，每年给予企业一定的储存补贴。当应急发生时，启动《临江市粮食应急预案》，企业必须按预购合同规定的数量、质量为政府提供成品粮油，所产生的粮款、运输和装卸等费用由政府负责。粮油款按启动应急预案前十日的平均出库价格结算。</w:t>
      </w:r>
    </w:p>
    <w:p>
      <w:pPr>
        <w:spacing w:line="560" w:lineRule="exact"/>
        <w:ind w:firstLine="640" w:firstLineChars="200"/>
        <w:rPr>
          <w:rFonts w:ascii="仿宋_GB2312" w:hAnsi="仿宋" w:eastAsia="仿宋_GB2312" w:cs="Arial"/>
          <w:bCs/>
          <w:kern w:val="0"/>
          <w:sz w:val="32"/>
          <w:szCs w:val="32"/>
        </w:rPr>
      </w:pPr>
      <w:r>
        <w:rPr>
          <w:rFonts w:hint="eastAsia" w:ascii="黑体" w:hAnsi="黑体" w:eastAsia="黑体"/>
          <w:bCs/>
          <w:sz w:val="32"/>
          <w:szCs w:val="32"/>
        </w:rPr>
        <w:t>四、补贴标准及支付时间</w:t>
      </w:r>
    </w:p>
    <w:p>
      <w:pPr>
        <w:spacing w:line="560" w:lineRule="exact"/>
        <w:ind w:firstLine="640" w:firstLineChars="200"/>
        <w:rPr>
          <w:rFonts w:ascii="楷体" w:hAnsi="楷体" w:eastAsia="楷体" w:cs="楷体"/>
          <w:bCs/>
          <w:kern w:val="0"/>
          <w:sz w:val="32"/>
          <w:szCs w:val="32"/>
        </w:rPr>
      </w:pPr>
      <w:r>
        <w:rPr>
          <w:rFonts w:hint="eastAsia" w:ascii="楷体" w:hAnsi="楷体" w:eastAsia="楷体" w:cs="楷体"/>
          <w:bCs/>
          <w:kern w:val="0"/>
          <w:sz w:val="32"/>
          <w:szCs w:val="32"/>
        </w:rPr>
        <w:t>（一）补贴标准</w:t>
      </w:r>
    </w:p>
    <w:p>
      <w:pPr>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根据我市财政实际情况，储备粮储存补贴标准为：大米、面粉每年每吨按</w:t>
      </w:r>
      <w:r>
        <w:rPr>
          <w:rFonts w:ascii="仿宋_GB2312" w:hAnsi="宋体" w:eastAsia="仿宋_GB2312" w:cs="宋体"/>
          <w:kern w:val="0"/>
          <w:sz w:val="32"/>
          <w:szCs w:val="32"/>
        </w:rPr>
        <w:t>80</w:t>
      </w:r>
      <w:r>
        <w:rPr>
          <w:rFonts w:hint="eastAsia" w:ascii="仿宋_GB2312" w:hAnsi="宋体" w:eastAsia="仿宋_GB2312" w:cs="宋体"/>
          <w:kern w:val="0"/>
          <w:sz w:val="32"/>
          <w:szCs w:val="32"/>
        </w:rPr>
        <w:t>元补贴，豆油每年每吨按</w:t>
      </w:r>
      <w:r>
        <w:rPr>
          <w:rFonts w:ascii="仿宋_GB2312" w:hAnsi="宋体" w:eastAsia="仿宋_GB2312" w:cs="宋体"/>
          <w:kern w:val="0"/>
          <w:sz w:val="32"/>
          <w:szCs w:val="32"/>
        </w:rPr>
        <w:t>150</w:t>
      </w:r>
      <w:r>
        <w:rPr>
          <w:rFonts w:hint="eastAsia" w:ascii="仿宋_GB2312" w:hAnsi="宋体" w:eastAsia="仿宋_GB2312" w:cs="宋体"/>
          <w:kern w:val="0"/>
          <w:sz w:val="32"/>
          <w:szCs w:val="32"/>
        </w:rPr>
        <w:t>元补贴，监管费用每年每吨</w:t>
      </w:r>
      <w:r>
        <w:rPr>
          <w:rFonts w:ascii="仿宋_GB2312" w:hAnsi="宋体" w:eastAsia="仿宋_GB2312" w:cs="宋体"/>
          <w:kern w:val="0"/>
          <w:sz w:val="32"/>
          <w:szCs w:val="32"/>
        </w:rPr>
        <w:t>8</w:t>
      </w:r>
      <w:r>
        <w:rPr>
          <w:rFonts w:hint="eastAsia" w:ascii="仿宋_GB2312" w:hAnsi="宋体" w:eastAsia="仿宋_GB2312" w:cs="宋体"/>
          <w:kern w:val="0"/>
          <w:sz w:val="32"/>
          <w:szCs w:val="32"/>
        </w:rPr>
        <w:t>元。</w:t>
      </w:r>
    </w:p>
    <w:p>
      <w:pPr>
        <w:spacing w:line="560" w:lineRule="exact"/>
        <w:ind w:firstLine="640" w:firstLineChars="200"/>
        <w:rPr>
          <w:rFonts w:ascii="楷体" w:hAnsi="楷体" w:eastAsia="楷体" w:cs="楷体"/>
          <w:bCs/>
          <w:kern w:val="0"/>
          <w:sz w:val="32"/>
          <w:szCs w:val="32"/>
        </w:rPr>
      </w:pPr>
      <w:r>
        <w:rPr>
          <w:rFonts w:hint="eastAsia" w:ascii="楷体" w:hAnsi="楷体" w:eastAsia="楷体" w:cs="楷体"/>
          <w:bCs/>
          <w:kern w:val="0"/>
          <w:sz w:val="32"/>
          <w:szCs w:val="32"/>
        </w:rPr>
        <w:t>（二）支付时间</w:t>
      </w:r>
    </w:p>
    <w:p>
      <w:pPr>
        <w:spacing w:line="5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签订合同后，补贴资金每半年发放一次，由市商务局在财政补贴资金到位后及时向承储企业对公账号支付补贴款。</w:t>
      </w:r>
    </w:p>
    <w:p>
      <w:pPr>
        <w:widowControl/>
        <w:shd w:val="clear" w:color="auto" w:fill="FFFFFF"/>
        <w:spacing w:line="560" w:lineRule="exact"/>
        <w:ind w:firstLine="640" w:firstLineChars="200"/>
        <w:jc w:val="left"/>
        <w:rPr>
          <w:rFonts w:ascii="黑体" w:hAnsi="黑体" w:eastAsia="黑体" w:cs="宋体"/>
          <w:bCs/>
          <w:kern w:val="0"/>
          <w:sz w:val="32"/>
          <w:szCs w:val="32"/>
        </w:rPr>
      </w:pPr>
      <w:r>
        <w:rPr>
          <w:rFonts w:hint="eastAsia" w:ascii="黑体" w:hAnsi="黑体" w:eastAsia="黑体" w:cs="宋体"/>
          <w:bCs/>
          <w:kern w:val="0"/>
          <w:sz w:val="32"/>
          <w:szCs w:val="32"/>
        </w:rPr>
        <w:t>五、补贴资金管理</w:t>
      </w:r>
    </w:p>
    <w:p>
      <w:pPr>
        <w:widowControl/>
        <w:shd w:val="clear" w:color="auto" w:fill="FFFFFF"/>
        <w:spacing w:line="560" w:lineRule="exact"/>
        <w:ind w:firstLine="640" w:firstLineChars="200"/>
        <w:jc w:val="left"/>
        <w:rPr>
          <w:rFonts w:ascii="仿宋_GB2312" w:hAnsi="仿宋" w:eastAsia="仿宋_GB2312" w:cs="宋体"/>
          <w:kern w:val="0"/>
          <w:szCs w:val="21"/>
        </w:rPr>
      </w:pPr>
      <w:r>
        <w:rPr>
          <w:rFonts w:ascii="仿宋_GB2312" w:hAnsi="仿宋" w:eastAsia="仿宋_GB2312" w:cs="宋体"/>
          <w:kern w:val="0"/>
          <w:sz w:val="32"/>
          <w:szCs w:val="32"/>
        </w:rPr>
        <w:t>(</w:t>
      </w:r>
      <w:r>
        <w:rPr>
          <w:rFonts w:hint="eastAsia" w:ascii="仿宋_GB2312" w:hAnsi="仿宋" w:eastAsia="仿宋_GB2312" w:cs="宋体"/>
          <w:kern w:val="0"/>
          <w:sz w:val="32"/>
          <w:szCs w:val="32"/>
        </w:rPr>
        <w:t>一</w:t>
      </w:r>
      <w:r>
        <w:rPr>
          <w:rFonts w:ascii="仿宋_GB2312" w:hAnsi="仿宋" w:eastAsia="仿宋_GB2312" w:cs="宋体"/>
          <w:kern w:val="0"/>
          <w:sz w:val="32"/>
          <w:szCs w:val="32"/>
        </w:rPr>
        <w:t>)</w:t>
      </w:r>
      <w:r>
        <w:rPr>
          <w:rFonts w:hint="eastAsia" w:ascii="仿宋_GB2312" w:hAnsi="仿宋" w:eastAsia="仿宋_GB2312" w:cs="宋体"/>
          <w:kern w:val="0"/>
          <w:sz w:val="32"/>
          <w:szCs w:val="32"/>
        </w:rPr>
        <w:t>费用补贴资金实行“专人专账管理、专账核算、专款专用”的原则，不得挤占、截留或挪用。</w:t>
      </w:r>
    </w:p>
    <w:p>
      <w:pPr>
        <w:widowControl/>
        <w:shd w:val="clear" w:color="auto" w:fill="FFFFFF"/>
        <w:spacing w:line="560" w:lineRule="exact"/>
        <w:ind w:firstLine="640" w:firstLineChars="200"/>
        <w:jc w:val="left"/>
        <w:rPr>
          <w:rFonts w:ascii="仿宋_GB2312" w:hAnsi="仿宋" w:eastAsia="仿宋_GB2312" w:cs="宋体"/>
          <w:kern w:val="0"/>
          <w:szCs w:val="21"/>
        </w:rPr>
      </w:pPr>
      <w:r>
        <w:rPr>
          <w:rFonts w:ascii="仿宋_GB2312" w:hAnsi="仿宋" w:eastAsia="仿宋_GB2312" w:cs="宋体"/>
          <w:kern w:val="0"/>
          <w:sz w:val="32"/>
          <w:szCs w:val="32"/>
        </w:rPr>
        <w:t>(</w:t>
      </w:r>
      <w:r>
        <w:rPr>
          <w:rFonts w:hint="eastAsia" w:ascii="仿宋_GB2312" w:hAnsi="仿宋" w:eastAsia="仿宋_GB2312" w:cs="宋体"/>
          <w:kern w:val="0"/>
          <w:sz w:val="32"/>
          <w:szCs w:val="32"/>
        </w:rPr>
        <w:t>二</w:t>
      </w:r>
      <w:r>
        <w:rPr>
          <w:rFonts w:ascii="仿宋_GB2312" w:hAnsi="仿宋" w:eastAsia="仿宋_GB2312" w:cs="宋体"/>
          <w:kern w:val="0"/>
          <w:sz w:val="32"/>
          <w:szCs w:val="32"/>
        </w:rPr>
        <w:t>)</w:t>
      </w:r>
      <w:r>
        <w:rPr>
          <w:rFonts w:hint="eastAsia" w:ascii="仿宋_GB2312" w:hAnsi="仿宋" w:eastAsia="仿宋_GB2312" w:cs="宋体"/>
          <w:kern w:val="0"/>
          <w:sz w:val="32"/>
          <w:szCs w:val="32"/>
        </w:rPr>
        <w:t>费用补贴资金的支出，由市商务局按承储企业储存规模、品种、补贴标准提出初步意见，并会同财政局一并进行核定。</w:t>
      </w:r>
    </w:p>
    <w:p>
      <w:pPr>
        <w:widowControl/>
        <w:shd w:val="clear" w:color="auto" w:fill="FFFFFF"/>
        <w:spacing w:line="560" w:lineRule="exact"/>
        <w:ind w:firstLine="640" w:firstLineChars="200"/>
        <w:jc w:val="left"/>
        <w:rPr>
          <w:rFonts w:ascii="仿宋_GB2312" w:hAnsi="仿宋" w:eastAsia="仿宋_GB2312" w:cs="宋体"/>
          <w:kern w:val="0"/>
          <w:szCs w:val="21"/>
        </w:rPr>
      </w:pPr>
      <w:r>
        <w:rPr>
          <w:rFonts w:ascii="仿宋_GB2312" w:hAnsi="仿宋" w:eastAsia="仿宋_GB2312" w:cs="宋体"/>
          <w:kern w:val="0"/>
          <w:sz w:val="32"/>
          <w:szCs w:val="32"/>
        </w:rPr>
        <w:t>(</w:t>
      </w:r>
      <w:r>
        <w:rPr>
          <w:rFonts w:hint="eastAsia" w:ascii="仿宋_GB2312" w:hAnsi="仿宋" w:eastAsia="仿宋_GB2312" w:cs="宋体"/>
          <w:kern w:val="0"/>
          <w:sz w:val="32"/>
          <w:szCs w:val="32"/>
        </w:rPr>
        <w:t>三</w:t>
      </w:r>
      <w:r>
        <w:rPr>
          <w:rFonts w:ascii="仿宋_GB2312" w:hAnsi="仿宋" w:eastAsia="仿宋_GB2312" w:cs="宋体"/>
          <w:kern w:val="0"/>
          <w:sz w:val="32"/>
          <w:szCs w:val="32"/>
        </w:rPr>
        <w:t>)</w:t>
      </w:r>
      <w:r>
        <w:rPr>
          <w:rFonts w:hint="eastAsia" w:ascii="仿宋_GB2312" w:hAnsi="仿宋" w:eastAsia="仿宋_GB2312" w:cs="宋体"/>
          <w:kern w:val="0"/>
          <w:sz w:val="32"/>
          <w:szCs w:val="32"/>
        </w:rPr>
        <w:t>市商务局定期到承储企业检查储存数量、品种及质量等情况，确保储备粮油符合要求，市财政局将补贴资金统一拨付到市商务局，再由商务局向企业拨付。</w:t>
      </w:r>
    </w:p>
    <w:p>
      <w:pPr>
        <w:spacing w:line="560" w:lineRule="exact"/>
        <w:ind w:firstLine="640" w:firstLineChars="200"/>
        <w:rPr>
          <w:rFonts w:ascii="黑体" w:hAnsi="黑体" w:eastAsia="黑体" w:cs="宋体"/>
          <w:bCs/>
          <w:kern w:val="0"/>
          <w:sz w:val="32"/>
          <w:szCs w:val="32"/>
        </w:rPr>
      </w:pPr>
      <w:r>
        <w:rPr>
          <w:rFonts w:hint="eastAsia" w:ascii="黑体" w:hAnsi="黑体" w:eastAsia="黑体" w:cs="宋体"/>
          <w:bCs/>
          <w:kern w:val="0"/>
          <w:sz w:val="32"/>
          <w:szCs w:val="32"/>
        </w:rPr>
        <w:t>六、监管办法及实物管理</w:t>
      </w:r>
    </w:p>
    <w:p>
      <w:pPr>
        <w:widowControl/>
        <w:shd w:val="clear" w:color="auto" w:fill="FFFFFF"/>
        <w:spacing w:line="560" w:lineRule="exact"/>
        <w:ind w:firstLine="640" w:firstLineChars="200"/>
        <w:jc w:val="left"/>
        <w:rPr>
          <w:rFonts w:ascii="楷体" w:hAnsi="楷体" w:eastAsia="楷体" w:cs="楷体"/>
          <w:bCs/>
          <w:kern w:val="0"/>
          <w:sz w:val="32"/>
          <w:szCs w:val="32"/>
        </w:rPr>
      </w:pPr>
      <w:r>
        <w:rPr>
          <w:rFonts w:hint="eastAsia" w:ascii="楷体" w:hAnsi="楷体" w:eastAsia="楷体" w:cs="楷体"/>
          <w:bCs/>
          <w:kern w:val="0"/>
          <w:sz w:val="32"/>
          <w:szCs w:val="32"/>
        </w:rPr>
        <w:t>（一）监管方法</w:t>
      </w:r>
    </w:p>
    <w:p>
      <w:pPr>
        <w:widowControl/>
        <w:shd w:val="clear" w:color="auto" w:fill="FFFFFF"/>
        <w:spacing w:line="560" w:lineRule="exact"/>
        <w:ind w:firstLine="640" w:firstLineChars="200"/>
        <w:jc w:val="left"/>
        <w:rPr>
          <w:rFonts w:ascii="仿宋_GB2312" w:hAnsi="仿宋" w:eastAsia="仿宋_GB2312" w:cs="宋体"/>
          <w:kern w:val="0"/>
          <w:szCs w:val="21"/>
        </w:rPr>
      </w:pPr>
      <w:r>
        <w:rPr>
          <w:rFonts w:hint="eastAsia" w:ascii="仿宋_GB2312" w:hAnsi="仿宋" w:eastAsia="仿宋_GB2312" w:cs="Arial"/>
          <w:kern w:val="0"/>
          <w:sz w:val="32"/>
          <w:szCs w:val="32"/>
        </w:rPr>
        <w:t>因突发公共事件或物价上涨等原因引起粮食市场异常波动时，市政府启动《临江市粮食应急预案》，市粮食应急办公室经请示主管市长批准后，可动用应急储备粮油，保障市场供应，平抑市场价格。</w:t>
      </w:r>
    </w:p>
    <w:p>
      <w:pPr>
        <w:spacing w:line="560" w:lineRule="exact"/>
        <w:ind w:firstLine="640" w:firstLineChars="200"/>
        <w:rPr>
          <w:rFonts w:ascii="仿宋_GB2312" w:hAnsi="仿宋" w:eastAsia="仿宋_GB2312" w:cs="宋体"/>
          <w:kern w:val="0"/>
          <w:sz w:val="32"/>
          <w:szCs w:val="32"/>
        </w:rPr>
      </w:pPr>
      <w:r>
        <w:rPr>
          <w:rFonts w:hint="eastAsia" w:ascii="仿宋_GB2312" w:hAnsi="仿宋" w:eastAsia="仿宋_GB2312" w:cs="Arial"/>
          <w:kern w:val="0"/>
          <w:sz w:val="32"/>
          <w:szCs w:val="32"/>
        </w:rPr>
        <w:t>市政府行使对该粮油的“控制权”。</w:t>
      </w:r>
      <w:r>
        <w:rPr>
          <w:rFonts w:hint="eastAsia" w:ascii="仿宋_GB2312" w:hAnsi="仿宋" w:eastAsia="仿宋_GB2312" w:cs="宋体"/>
          <w:kern w:val="0"/>
          <w:sz w:val="32"/>
          <w:szCs w:val="32"/>
        </w:rPr>
        <w:t>由市商务局、市财政局负责监管。在合同履约期间，市商务局负责组织对储备大米、面粉、油的品质、数量随时进行检查，保证数量真实、质量良好、储存安全。对承储企业涉及预购大米、面粉、油有关的财务、统计、仓储等账目进行检查。在承储企业未告知的情况下，发现企业库存总量未达到预购承储要求数量，或出现质量指标不合格情况，将取消半年费用补贴。一年内有二次检查发现企业有以上情况时，取消其全部费用补贴，撤消承储资格并按预购合同追究法律责任。在政府需要动用储备粮油时，企业如果没有保证合同约定的粮油数量、质量，企业向市商务局支付</w:t>
      </w:r>
      <w:r>
        <w:rPr>
          <w:rFonts w:ascii="仿宋_GB2312" w:hAnsi="仿宋" w:eastAsia="仿宋_GB2312" w:cs="宋体"/>
          <w:kern w:val="0"/>
          <w:sz w:val="32"/>
          <w:szCs w:val="32"/>
        </w:rPr>
        <w:t>5</w:t>
      </w:r>
      <w:r>
        <w:rPr>
          <w:rFonts w:hint="eastAsia" w:ascii="仿宋_GB2312" w:hAnsi="仿宋" w:eastAsia="仿宋_GB2312" w:cs="宋体"/>
          <w:kern w:val="0"/>
          <w:sz w:val="32"/>
          <w:szCs w:val="32"/>
        </w:rPr>
        <w:t>万元的违约金，并追究企业法人法律责任。</w:t>
      </w:r>
    </w:p>
    <w:p>
      <w:pPr>
        <w:adjustRightInd w:val="0"/>
        <w:snapToGrid w:val="0"/>
        <w:spacing w:line="560" w:lineRule="exact"/>
        <w:ind w:firstLine="640" w:firstLineChars="200"/>
        <w:rPr>
          <w:rFonts w:ascii="楷体" w:hAnsi="楷体" w:eastAsia="楷体" w:cs="楷体"/>
          <w:bCs/>
          <w:kern w:val="0"/>
          <w:sz w:val="32"/>
          <w:szCs w:val="32"/>
        </w:rPr>
      </w:pPr>
      <w:r>
        <w:rPr>
          <w:rFonts w:hint="eastAsia" w:ascii="楷体" w:hAnsi="楷体" w:eastAsia="楷体" w:cs="楷体"/>
          <w:bCs/>
          <w:kern w:val="0"/>
          <w:sz w:val="32"/>
          <w:szCs w:val="32"/>
        </w:rPr>
        <w:t>（二）实物管理</w:t>
      </w:r>
    </w:p>
    <w:p>
      <w:pPr>
        <w:adjustRightInd w:val="0"/>
        <w:snapToGrid w:val="0"/>
        <w:spacing w:line="560" w:lineRule="exact"/>
        <w:ind w:firstLine="640" w:firstLineChars="200"/>
        <w:rPr>
          <w:rFonts w:ascii="仿宋_GB2312" w:hAnsi="仿宋" w:eastAsia="仿宋_GB2312" w:cs="Arial"/>
          <w:kern w:val="0"/>
          <w:sz w:val="32"/>
          <w:szCs w:val="32"/>
        </w:rPr>
      </w:pPr>
      <w:r>
        <w:rPr>
          <w:rFonts w:hint="eastAsia" w:ascii="仿宋_GB2312" w:hAnsi="仿宋" w:eastAsia="仿宋_GB2312" w:cs="Arial"/>
          <w:kern w:val="0"/>
          <w:sz w:val="32"/>
          <w:szCs w:val="32"/>
        </w:rPr>
        <w:t>应急成品粮油所有权为承储企业所有。应急成品粮油储备占用的资金由承储企业自行筹措，承储企业按照定期轮换方式正常经营，应急成品储备粮油的轮换必须遵循有利于保证数量、质量和储存安全，保持粮油市场稳定，节约成本提高效率的原则，实行动态管理的滚动式轮换，具体轮换时间和方式由承储企业根据经营情况确定，但不得有轮换架空期，确保应急粮油在粮食应急预案启动时数量真实、质量完好，调得动、用得上。</w:t>
      </w:r>
    </w:p>
    <w:p>
      <w:pPr>
        <w:adjustRightInd w:val="0"/>
        <w:snapToGrid w:val="0"/>
        <w:spacing w:line="560" w:lineRule="exact"/>
        <w:ind w:firstLine="640" w:firstLineChars="200"/>
        <w:rPr>
          <w:rFonts w:ascii="仿宋_GB2312" w:hAnsi="仿宋" w:eastAsia="仿宋_GB2312"/>
          <w:kern w:val="0"/>
          <w:sz w:val="32"/>
          <w:szCs w:val="32"/>
          <w:lang w:val="zh-CN"/>
        </w:rPr>
      </w:pPr>
      <w:r>
        <w:rPr>
          <w:rFonts w:hint="eastAsia" w:ascii="仿宋_GB2312" w:hAnsi="仿宋" w:eastAsia="仿宋_GB2312"/>
          <w:sz w:val="32"/>
          <w:szCs w:val="32"/>
        </w:rPr>
        <w:t>承储企业实行专仓（罐）储存、专人保管、专账记载，保证成品粮油储备账账相符、账实相符，质量良好、储存安全。在合同预购承储期内实际大米、面粉、豆油库存数量不能少于合同签订的预购大米、面粉、油的数量，到合同预购数量临界点时，向市商务局及时报告，并及时补充库存。同时承储企业必须</w:t>
      </w:r>
      <w:r>
        <w:rPr>
          <w:rFonts w:hint="eastAsia" w:ascii="仿宋_GB2312" w:hAnsi="仿宋" w:eastAsia="仿宋_GB2312"/>
          <w:kern w:val="0"/>
          <w:sz w:val="32"/>
          <w:szCs w:val="32"/>
          <w:lang w:val="zh-CN"/>
        </w:rPr>
        <w:t>建立库存台账和销售台账，每月</w:t>
      </w:r>
      <w:r>
        <w:rPr>
          <w:rFonts w:hint="eastAsia" w:ascii="仿宋_GB2312" w:hAnsi="仿宋" w:eastAsia="仿宋_GB2312"/>
          <w:sz w:val="32"/>
          <w:szCs w:val="32"/>
        </w:rPr>
        <w:t>按时向市商务局粮食和物资储备科报送库存和价格等统计报表。</w:t>
      </w:r>
      <w:r>
        <w:rPr>
          <w:rFonts w:hint="eastAsia" w:ascii="仿宋_GB2312" w:hAnsi="仿宋" w:eastAsia="仿宋_GB2312"/>
          <w:kern w:val="0"/>
          <w:sz w:val="32"/>
          <w:szCs w:val="32"/>
          <w:lang w:val="zh-CN"/>
        </w:rPr>
        <w:t>非常时期粮油市场发生波动时，市政府向承储企业下达成品粮油储备投放市场调控命令，企业必须无条件执行，并按要求完成包装加工、组织出库和运输配送等。</w:t>
      </w:r>
    </w:p>
    <w:p>
      <w:pPr>
        <w:adjustRightInd w:val="0"/>
        <w:snapToGrid w:val="0"/>
        <w:spacing w:line="560" w:lineRule="exact"/>
        <w:ind w:firstLine="640" w:firstLineChars="200"/>
        <w:rPr>
          <w:rFonts w:ascii="黑体" w:hAnsi="黑体" w:eastAsia="黑体"/>
          <w:bCs/>
          <w:sz w:val="32"/>
          <w:szCs w:val="32"/>
        </w:rPr>
      </w:pPr>
      <w:r>
        <w:rPr>
          <w:rFonts w:hint="eastAsia" w:ascii="黑体" w:hAnsi="黑体" w:eastAsia="黑体"/>
          <w:bCs/>
          <w:kern w:val="0"/>
          <w:sz w:val="32"/>
          <w:szCs w:val="32"/>
          <w:lang w:val="zh-CN"/>
        </w:rPr>
        <w:t>七、</w:t>
      </w:r>
      <w:r>
        <w:rPr>
          <w:rFonts w:hint="eastAsia" w:ascii="黑体" w:hAnsi="黑体" w:eastAsia="黑体"/>
          <w:bCs/>
          <w:sz w:val="32"/>
          <w:szCs w:val="32"/>
        </w:rPr>
        <w:t>应急征用及投放</w:t>
      </w:r>
    </w:p>
    <w:p>
      <w:pPr>
        <w:adjustRightInd w:val="0"/>
        <w:snapToGrid w:val="0"/>
        <w:spacing w:line="560" w:lineRule="exact"/>
        <w:ind w:firstLine="640" w:firstLineChars="200"/>
        <w:rPr>
          <w:rFonts w:ascii="仿宋_GB2312" w:hAnsi="仿宋" w:eastAsia="仿宋_GB2312"/>
          <w:kern w:val="0"/>
          <w:sz w:val="32"/>
          <w:szCs w:val="32"/>
          <w:lang w:val="zh-CN"/>
        </w:rPr>
      </w:pPr>
      <w:r>
        <w:rPr>
          <w:rFonts w:hint="eastAsia" w:ascii="仿宋_GB2312" w:hAnsi="仿宋" w:eastAsia="仿宋_GB2312"/>
          <w:sz w:val="32"/>
          <w:szCs w:val="32"/>
        </w:rPr>
        <w:t>（一）征用：当粮油市场价格异常波动或发生突发事件时，市商务局或应急办及时向市政府报告，由商务局代表</w:t>
      </w:r>
      <w:r>
        <w:rPr>
          <w:rFonts w:hint="eastAsia" w:ascii="仿宋_GB2312" w:hAnsi="仿宋" w:eastAsia="仿宋_GB2312"/>
          <w:kern w:val="0"/>
          <w:sz w:val="32"/>
          <w:szCs w:val="32"/>
          <w:lang w:val="zh-CN"/>
        </w:rPr>
        <w:t>市政府向承储企业下达成品粮油储备投放市场调控命令，</w:t>
      </w:r>
      <w:r>
        <w:rPr>
          <w:rFonts w:hint="eastAsia" w:ascii="仿宋_GB2312" w:hAnsi="仿宋" w:eastAsia="仿宋_GB2312"/>
          <w:sz w:val="32"/>
          <w:szCs w:val="32"/>
        </w:rPr>
        <w:t>按市场批发价格征用储备粮油。征用结束后，承储企业应及时补足库存。</w:t>
      </w:r>
    </w:p>
    <w:p>
      <w:pPr>
        <w:pStyle w:val="2"/>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（二）投放：向负责应急粮油供应的粮油批发市场、大型超市、农贸市场和便利店等网点投放，优先满足医院、学校和社会低收入群体。</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其他未尽事宜按《粮食流通管理条例》及《临江市粮食应急预案》相关规定执行。</w:t>
      </w:r>
    </w:p>
    <w:p>
      <w:pPr>
        <w:spacing w:line="560" w:lineRule="exact"/>
        <w:ind w:firstLine="640" w:firstLineChars="200"/>
        <w:rPr>
          <w:rFonts w:ascii="仿宋_GB2312" w:hAnsi="仿宋" w:eastAsia="仿宋_GB2312"/>
          <w:sz w:val="32"/>
          <w:szCs w:val="32"/>
        </w:rPr>
      </w:pPr>
    </w:p>
    <w:p>
      <w:pPr>
        <w:spacing w:line="560" w:lineRule="exact"/>
        <w:ind w:firstLine="640" w:firstLineChars="200"/>
        <w:rPr>
          <w:rFonts w:ascii="仿宋_GB2312" w:hAnsi="仿宋" w:eastAsia="仿宋_GB2312"/>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643" w:firstLineChars="200"/>
        <w:rPr>
          <w:rFonts w:ascii="仿宋_GB2312" w:hAnsi="仿宋" w:eastAsia="仿宋_GB2312"/>
          <w:b/>
          <w:bCs/>
          <w:sz w:val="32"/>
          <w:szCs w:val="32"/>
        </w:rPr>
      </w:pPr>
    </w:p>
    <w:p>
      <w:pPr>
        <w:spacing w:line="560" w:lineRule="exact"/>
        <w:ind w:firstLine="315" w:firstLineChars="98"/>
        <w:rPr>
          <w:rFonts w:ascii="仿宋_GB2312" w:hAnsi="仿宋" w:eastAsia="仿宋_GB2312"/>
          <w:b/>
          <w:bCs/>
          <w:sz w:val="32"/>
          <w:szCs w:val="32"/>
        </w:rPr>
      </w:pPr>
      <w:r>
        <w:rPr>
          <w:rFonts w:hint="eastAsia" w:ascii="仿宋_GB2312" w:hAnsi="仿宋" w:eastAsia="仿宋_GB2312"/>
          <w:b/>
          <w:bCs/>
          <w:sz w:val="32"/>
          <w:szCs w:val="32"/>
        </w:rPr>
        <w:t>附件：领导小组及职责。</w:t>
      </w:r>
    </w:p>
    <w:p>
      <w:pPr>
        <w:spacing w:line="560" w:lineRule="exact"/>
        <w:rPr>
          <w:rFonts w:ascii="黑体" w:hAnsi="黑体" w:eastAsia="黑体" w:cs="宋体"/>
          <w:b/>
          <w:kern w:val="0"/>
          <w:sz w:val="32"/>
          <w:szCs w:val="32"/>
        </w:rPr>
      </w:pPr>
    </w:p>
    <w:p>
      <w:pPr>
        <w:spacing w:line="560" w:lineRule="exact"/>
        <w:rPr>
          <w:rFonts w:ascii="黑体" w:hAnsi="黑体" w:eastAsia="黑体" w:cs="宋体"/>
          <w:b/>
          <w:kern w:val="0"/>
          <w:sz w:val="32"/>
          <w:szCs w:val="32"/>
        </w:rPr>
      </w:pPr>
      <w:r>
        <w:rPr>
          <w:rFonts w:ascii="黑体" w:hAnsi="黑体" w:eastAsia="黑体" w:cs="宋体"/>
          <w:b/>
          <w:kern w:val="0"/>
          <w:sz w:val="32"/>
          <w:szCs w:val="32"/>
        </w:rPr>
        <w:t xml:space="preserve">    </w:t>
      </w:r>
      <w:r>
        <w:rPr>
          <w:rFonts w:hint="eastAsia" w:ascii="黑体" w:hAnsi="黑体" w:eastAsia="黑体" w:cs="宋体"/>
          <w:b/>
          <w:kern w:val="0"/>
          <w:sz w:val="32"/>
          <w:szCs w:val="32"/>
        </w:rPr>
        <w:t>组织领导</w:t>
      </w:r>
    </w:p>
    <w:p>
      <w:pPr>
        <w:spacing w:line="5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为加强全市成品粮油应急储备工作的领导，成立市成品粮油应急储备管理领导小组。领导小组组长由市政府分管粮食工作的领导担任，副组长由政府办主任和市商务局局长担任，成员由</w:t>
      </w:r>
      <w:r>
        <w:rPr>
          <w:rFonts w:hint="eastAsia" w:ascii="Times New Roman" w:hAnsi="Times New Roman" w:eastAsia="仿宋_GB2312"/>
          <w:sz w:val="32"/>
          <w:szCs w:val="32"/>
          <w:shd w:val="clear" w:color="auto" w:fill="FFFFFF"/>
        </w:rPr>
        <w:t>市商务局、市应急局、市财政局、市交通运输局、市工信局、市发改局、市公安局、市市场监管局、市农业农村局、临江市融媒体中心、中国农业发展银行临江支行、各乡镇（街道）政府（办事处）等单位负责人员组成</w:t>
      </w:r>
      <w:r>
        <w:rPr>
          <w:rFonts w:hint="eastAsia" w:ascii="仿宋_GB2312" w:hAnsi="仿宋" w:eastAsia="仿宋_GB2312" w:cs="宋体"/>
          <w:kern w:val="0"/>
          <w:sz w:val="32"/>
          <w:szCs w:val="32"/>
        </w:rPr>
        <w:t>。</w:t>
      </w:r>
    </w:p>
    <w:p>
      <w:pPr>
        <w:shd w:val="solid" w:color="FFFFFF" w:fill="auto"/>
        <w:autoSpaceDN w:val="0"/>
        <w:spacing w:line="540" w:lineRule="atLeast"/>
        <w:ind w:firstLine="640" w:firstLineChars="200"/>
        <w:rPr>
          <w:rFonts w:ascii="仿宋_GB2312" w:hAnsi="仿宋" w:eastAsia="仿宋_GB2312"/>
          <w:sz w:val="32"/>
          <w:szCs w:val="32"/>
        </w:rPr>
      </w:pPr>
      <w:r>
        <w:rPr>
          <w:rFonts w:hint="eastAsia" w:ascii="仿宋_GB2312" w:hAnsi="仿宋" w:eastAsia="仿宋_GB2312"/>
          <w:sz w:val="32"/>
          <w:szCs w:val="32"/>
        </w:rPr>
        <w:t>各成员单位的主要职责是：</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1</w:t>
      </w:r>
      <w:r>
        <w:rPr>
          <w:rFonts w:hint="eastAsia" w:ascii="Times New Roman" w:hAnsi="Times New Roman" w:eastAsia="仿宋_GB2312"/>
          <w:sz w:val="32"/>
          <w:szCs w:val="32"/>
          <w:shd w:val="clear" w:color="auto" w:fill="FFFFFF"/>
        </w:rPr>
        <w:t>）市商务局会同市应急局负责应急工作的综合协调。</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2</w:t>
      </w:r>
      <w:r>
        <w:rPr>
          <w:rFonts w:hint="eastAsia" w:ascii="Times New Roman" w:hAnsi="Times New Roman" w:eastAsia="仿宋_GB2312"/>
          <w:sz w:val="32"/>
          <w:szCs w:val="32"/>
          <w:shd w:val="clear" w:color="auto" w:fill="FFFFFF"/>
        </w:rPr>
        <w:t>）市商务局负责做好粮食市场调控和粮食应急供应工作；指导市盐业销售企业做好食盐的采购、供应工作。</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3</w:t>
      </w:r>
      <w:r>
        <w:rPr>
          <w:rFonts w:hint="eastAsia" w:ascii="Times New Roman" w:hAnsi="Times New Roman" w:eastAsia="仿宋_GB2312"/>
          <w:sz w:val="32"/>
          <w:szCs w:val="32"/>
          <w:shd w:val="clear" w:color="auto" w:fill="FFFFFF"/>
        </w:rPr>
        <w:t>）市财政局负责安排、审核实施本预案所需经费，专款专用，并及时足额拨付到位。</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4</w:t>
      </w:r>
      <w:r>
        <w:rPr>
          <w:rFonts w:hint="eastAsia" w:ascii="Times New Roman" w:hAnsi="Times New Roman" w:eastAsia="仿宋_GB2312"/>
          <w:sz w:val="32"/>
          <w:szCs w:val="32"/>
          <w:shd w:val="clear" w:color="auto" w:fill="FFFFFF"/>
        </w:rPr>
        <w:t>）市交通运输局负责做好公路运力调度，为应急粮食运输提供运输保障。</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5</w:t>
      </w:r>
      <w:r>
        <w:rPr>
          <w:rFonts w:hint="eastAsia" w:ascii="Times New Roman" w:hAnsi="Times New Roman" w:eastAsia="仿宋_GB2312"/>
          <w:sz w:val="32"/>
          <w:szCs w:val="32"/>
          <w:shd w:val="clear" w:color="auto" w:fill="FFFFFF"/>
        </w:rPr>
        <w:t>）市工信局负责协调应急粮食的铁路运输。</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6</w:t>
      </w:r>
      <w:r>
        <w:rPr>
          <w:rFonts w:hint="eastAsia" w:ascii="Times New Roman" w:hAnsi="Times New Roman" w:eastAsia="仿宋_GB2312"/>
          <w:sz w:val="32"/>
          <w:szCs w:val="32"/>
          <w:shd w:val="clear" w:color="auto" w:fill="FFFFFF"/>
        </w:rPr>
        <w:t>）中国农业发展银行临江支行负责落实应急粮油采购、加工、调拨、储存等环节需资金贷款。</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7</w:t>
      </w:r>
      <w:r>
        <w:rPr>
          <w:rFonts w:hint="eastAsia" w:ascii="Times New Roman" w:hAnsi="Times New Roman" w:eastAsia="仿宋_GB2312"/>
          <w:sz w:val="32"/>
          <w:szCs w:val="32"/>
          <w:shd w:val="clear" w:color="auto" w:fill="FFFFFF"/>
        </w:rPr>
        <w:t>）市市场监管局按照《粮食流通管理条例》有关规定，负责对粮食市场进行监管，依法打击囤积居奇，欺行霸市等违法经营行为，维护粮食市场秩序；负责对粮油食品安全的监管及检验检测。</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8</w:t>
      </w:r>
      <w:r>
        <w:rPr>
          <w:rFonts w:hint="eastAsia" w:ascii="Times New Roman" w:hAnsi="Times New Roman" w:eastAsia="仿宋_GB2312"/>
          <w:sz w:val="32"/>
          <w:szCs w:val="32"/>
          <w:shd w:val="clear" w:color="auto" w:fill="FFFFFF"/>
        </w:rPr>
        <w:t>）市发改局负责根据市场粮食价格波动情况，必要时逐级上报请示，由白山市政府、省政府采取价格干预措施；市市场监管局负责对不执行价格干预措施的违法行为进行查处。</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9</w:t>
      </w:r>
      <w:r>
        <w:rPr>
          <w:rFonts w:hint="eastAsia" w:ascii="Times New Roman" w:hAnsi="Times New Roman" w:eastAsia="仿宋_GB2312"/>
          <w:sz w:val="32"/>
          <w:szCs w:val="32"/>
          <w:shd w:val="clear" w:color="auto" w:fill="FFFFFF"/>
        </w:rPr>
        <w:t>）市公安局负责维护粮食供应场所的治安秩序，防止因粮食供应紧张引发群体性治安事件和社会骚乱，配合有关部门及时打击扰乱市场秩序的犯罪活动。</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10</w:t>
      </w:r>
      <w:r>
        <w:rPr>
          <w:rFonts w:hint="eastAsia" w:ascii="Times New Roman" w:hAnsi="Times New Roman" w:eastAsia="仿宋_GB2312"/>
          <w:sz w:val="32"/>
          <w:szCs w:val="32"/>
          <w:shd w:val="clear" w:color="auto" w:fill="FFFFFF"/>
        </w:rPr>
        <w:t>）市应急局负责应急情况下受灾群众的安置，配合相关单位做好灾粮的发放。</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11</w:t>
      </w:r>
      <w:r>
        <w:rPr>
          <w:rFonts w:hint="eastAsia" w:ascii="Times New Roman" w:hAnsi="Times New Roman" w:eastAsia="仿宋_GB2312"/>
          <w:sz w:val="32"/>
          <w:szCs w:val="32"/>
          <w:shd w:val="clear" w:color="auto" w:fill="FFFFFF"/>
        </w:rPr>
        <w:t>）市农业农村局负责根据生产及市场供求情况，采取有力措施增加粮食产量，促进产需基本平衡。</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12</w:t>
      </w:r>
      <w:r>
        <w:rPr>
          <w:rFonts w:hint="eastAsia" w:ascii="Times New Roman" w:hAnsi="Times New Roman" w:eastAsia="仿宋_GB2312"/>
          <w:sz w:val="32"/>
          <w:szCs w:val="32"/>
          <w:shd w:val="clear" w:color="auto" w:fill="FFFFFF"/>
        </w:rPr>
        <w:t>）市文旅局按照有关规定做好宣传报道，正确引导舆论。</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13</w:t>
      </w:r>
      <w:r>
        <w:rPr>
          <w:rFonts w:hint="eastAsia" w:ascii="Times New Roman" w:hAnsi="Times New Roman" w:eastAsia="仿宋_GB2312"/>
          <w:sz w:val="32"/>
          <w:szCs w:val="32"/>
          <w:shd w:val="clear" w:color="auto" w:fill="FFFFFF"/>
        </w:rPr>
        <w:t>）市融媒体中心负责按照有关规定，认真做好宣传报道，正确引导舆论。</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sz w:val="32"/>
          <w:szCs w:val="32"/>
          <w:shd w:val="clear" w:color="auto" w:fill="FFFFFF"/>
        </w:rPr>
        <w:t>（</w:t>
      </w:r>
      <w:r>
        <w:rPr>
          <w:rFonts w:ascii="Times New Roman" w:hAnsi="Times New Roman" w:eastAsia="仿宋_GB2312"/>
          <w:sz w:val="32"/>
          <w:szCs w:val="32"/>
          <w:shd w:val="clear" w:color="auto" w:fill="FFFFFF"/>
        </w:rPr>
        <w:t>14</w:t>
      </w:r>
      <w:r>
        <w:rPr>
          <w:rFonts w:hint="eastAsia" w:ascii="Times New Roman" w:hAnsi="Times New Roman" w:eastAsia="仿宋_GB2312"/>
          <w:sz w:val="32"/>
          <w:szCs w:val="32"/>
          <w:shd w:val="clear" w:color="auto" w:fill="FFFFFF"/>
        </w:rPr>
        <w:t>）各乡镇（街道）政府（办事处）负责本乡镇（街道）政府（办事处）粮食应急市场信息报送、应急粮食的运输等各项工作。</w:t>
      </w:r>
    </w:p>
    <w:p>
      <w:pPr>
        <w:shd w:val="solid" w:color="FFFFFF" w:fill="auto"/>
        <w:autoSpaceDN w:val="0"/>
        <w:spacing w:line="540" w:lineRule="atLeas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 xml:space="preserve"> (15</w:t>
      </w:r>
      <w:r>
        <w:rPr>
          <w:rFonts w:hint="eastAsia" w:ascii="Times New Roman" w:hAnsi="Times New Roman" w:eastAsia="仿宋_GB2312"/>
          <w:sz w:val="32"/>
          <w:szCs w:val="32"/>
          <w:shd w:val="clear" w:color="auto" w:fill="FFFFFF"/>
        </w:rPr>
        <w:t>）其它有关部门在指挥部的统一领导下作好相关配合工作。</w:t>
      </w:r>
    </w:p>
    <w:p>
      <w:pPr>
        <w:spacing w:line="56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领导小组办公室设在市商务局，负责应急储备管理的日常工作。办公室主任由市商务局局长兼任，副主任由主管副局长兼任。</w:t>
      </w:r>
    </w:p>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3DE6E8-9BBD-40A2-9272-AB454284A075}"/>
  </w:font>
  <w:font w:name="Arial">
    <w:panose1 w:val="020B0604020202020204"/>
    <w:charset w:val="01"/>
    <w:family w:val="swiss"/>
    <w:pitch w:val="default"/>
    <w:sig w:usb0="E0002EFF" w:usb1="C000785B" w:usb2="00000009" w:usb3="00000000" w:csb0="400001FF" w:csb1="FFFF0000"/>
    <w:embedRegular r:id="rId2" w:fontKey="{54D516F4-6C3F-4370-8A48-5DBF16691D6B}"/>
  </w:font>
  <w:font w:name="黑体">
    <w:panose1 w:val="02010609060101010101"/>
    <w:charset w:val="86"/>
    <w:family w:val="auto"/>
    <w:pitch w:val="default"/>
    <w:sig w:usb0="800002BF" w:usb1="38CF7CFA" w:usb2="00000016" w:usb3="00000000" w:csb0="00040001" w:csb1="00000000"/>
    <w:embedRegular r:id="rId3" w:fontKey="{206C09B8-D8C3-4678-88CE-5BB39D76655A}"/>
  </w:font>
  <w:font w:name="Courier New">
    <w:panose1 w:val="02070309020205020404"/>
    <w:charset w:val="01"/>
    <w:family w:val="modern"/>
    <w:pitch w:val="default"/>
    <w:sig w:usb0="E0002EFF" w:usb1="C0007843" w:usb2="00000009" w:usb3="00000000" w:csb0="400001FF" w:csb1="FFFF0000"/>
    <w:embedRegular r:id="rId4" w:fontKey="{2ED8AE41-861A-4FED-BDDF-041710593F7E}"/>
  </w:font>
  <w:font w:name="Symbol">
    <w:panose1 w:val="05050102010706020507"/>
    <w:charset w:val="02"/>
    <w:family w:val="roman"/>
    <w:pitch w:val="default"/>
    <w:sig w:usb0="00000000" w:usb1="00000000" w:usb2="00000000" w:usb3="00000000" w:csb0="80000000" w:csb1="00000000"/>
    <w:embedRegular r:id="rId5" w:fontKey="{2CBEE03B-990B-4BED-A903-028AD1755F8B}"/>
  </w:font>
  <w:font w:name="Calibri">
    <w:panose1 w:val="020F0502020204030204"/>
    <w:charset w:val="00"/>
    <w:family w:val="swiss"/>
    <w:pitch w:val="default"/>
    <w:sig w:usb0="E4002EFF" w:usb1="C000247B" w:usb2="00000009" w:usb3="00000000" w:csb0="200001FF" w:csb1="00000000"/>
    <w:embedRegular r:id="rId6" w:fontKey="{97CCA66B-90CA-4538-9D9A-1D2C1DBC78F0}"/>
  </w:font>
  <w:font w:name="瀹嬩綋">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7" w:fontKey="{0B5027F6-2422-4333-AE2F-FA7DF4DB5456}"/>
  </w:font>
  <w:font w:name="仿宋_GB2312">
    <w:panose1 w:val="02010609030101010101"/>
    <w:charset w:val="86"/>
    <w:family w:val="modern"/>
    <w:pitch w:val="default"/>
    <w:sig w:usb0="00000001" w:usb1="080E0000" w:usb2="00000000" w:usb3="00000000" w:csb0="00040000" w:csb1="00000000"/>
    <w:embedRegular r:id="rId8" w:fontKey="{0E8E9642-AE12-4C1B-A4EC-D5D1C9B20410}"/>
  </w:font>
  <w:font w:name="Arial">
    <w:panose1 w:val="020B0604020202020204"/>
    <w:charset w:val="00"/>
    <w:family w:val="swiss"/>
    <w:pitch w:val="default"/>
    <w:sig w:usb0="E0002EFF" w:usb1="C000785B" w:usb2="00000009" w:usb3="00000000" w:csb0="400001FF" w:csb1="FFFF0000"/>
    <w:embedRegular r:id="rId9" w:fontKey="{F1885D8C-9C47-428D-B024-01E6D0FCB144}"/>
  </w:font>
  <w:font w:name="微软雅黑">
    <w:panose1 w:val="020B0503020204020204"/>
    <w:charset w:val="86"/>
    <w:family w:val="swiss"/>
    <w:pitch w:val="default"/>
    <w:sig w:usb0="80000287" w:usb1="2ACF3C50" w:usb2="00000016" w:usb3="00000000" w:csb0="0004001F" w:csb1="00000000"/>
    <w:embedRegular r:id="rId10" w:fontKey="{DF307D64-DF8B-4B96-9DD3-7D86ACBE6049}"/>
  </w:font>
  <w:font w:name="楷体">
    <w:panose1 w:val="02010609060101010101"/>
    <w:charset w:val="86"/>
    <w:family w:val="modern"/>
    <w:pitch w:val="default"/>
    <w:sig w:usb0="800002BF" w:usb1="38CF7CFA" w:usb2="00000016" w:usb3="00000000" w:csb0="00040001" w:csb1="00000000"/>
    <w:embedRegular r:id="rId11" w:fontKey="{8770D93D-8205-4CAE-89DC-13F85D4CFD0A}"/>
  </w:font>
  <w:font w:name="方正小标宋_GBK">
    <w:panose1 w:val="03000509000000000000"/>
    <w:charset w:val="86"/>
    <w:family w:val="auto"/>
    <w:pitch w:val="default"/>
    <w:sig w:usb0="00000001" w:usb1="080E0000" w:usb2="00000000" w:usb3="00000000" w:csb0="00040000" w:csb1="00000000"/>
    <w:embedRegular r:id="rId12" w:fontKey="{39EAB496-CB61-4C19-AE66-145DEA17F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pMG+ABAAC5AwAADgAAAGRycy9lMm9Eb2MueG1srVPNjtMwEL4j8Q6W&#10;7zRppUUlaroCVYuQECAtPIDrOI0l22ON3SblAeANOHHhznP1ORg7SRctlz1wScbz8818n8eb28Ea&#10;dlIYNLiaLxclZ8pJaLQ71PzL57sXa85CFK4RBpyq+VkFfrt9/mzT+0qtoAPTKGQE4kLV+5p3Mfqq&#10;KILslBVhAV45CraAVkQ64qFoUPSEbk2xKsuXRQ/YeASpQiDvbgzyCRGfAghtq6XagTxa5eKIisqI&#10;SJRCp33g2zxt2yoZP7ZtUJGZmhPTmL/UhOx9+hbbjagOKHyn5TSCeMoIjzhZoR01vULtRBTsiPof&#10;KKslQoA2LiTYYiSSFSEWy/KRNved8CpzIamDv4oe/h+s/HD6hEw3tAmcOWHpwi8/vl9+/r78+saW&#10;SZ7eh4qy7j3lxeENDCl18gdyJtZDizb9iQ+jOIl7voqrhshkKlqv1uuSQpJi84FwiodyjyG+VWBZ&#10;MmqOdHtZVHF6H+KYOqekbg7utDHkF5VxrK/5q5vVTS64RgjcOOqRSIzDJisO+2FisIfmTMToPVDD&#10;DvArZz1tQ80dLT9n5p0jsdPizAbOxn42hJNUWPPI2dGjPnR5ydJUwb8+Rhoyz54aj92meehGM/tp&#10;+9LK/H3OWQ8vb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XKTBvgAQAAuQMAAA4AAAAA&#10;AAAAAQAgAAAAHgEAAGRycy9lMm9Eb2MueG1sUEsFBgAAAAAGAAYAWQEAAHAFA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7A11D"/>
    <w:multiLevelType w:val="singleLevel"/>
    <w:tmpl w:val="5347A11D"/>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CE34A5"/>
    <w:rsid w:val="000A24D3"/>
    <w:rsid w:val="002F3789"/>
    <w:rsid w:val="00427CCD"/>
    <w:rsid w:val="004C6652"/>
    <w:rsid w:val="00507193"/>
    <w:rsid w:val="00552417"/>
    <w:rsid w:val="006227F7"/>
    <w:rsid w:val="00622ECB"/>
    <w:rsid w:val="00647C31"/>
    <w:rsid w:val="006A1924"/>
    <w:rsid w:val="006A7F7A"/>
    <w:rsid w:val="007A5920"/>
    <w:rsid w:val="007E0097"/>
    <w:rsid w:val="008322DB"/>
    <w:rsid w:val="008D3E68"/>
    <w:rsid w:val="00954E4D"/>
    <w:rsid w:val="009A1FD7"/>
    <w:rsid w:val="00AE1BF2"/>
    <w:rsid w:val="00B15D51"/>
    <w:rsid w:val="00B425BD"/>
    <w:rsid w:val="00BE23EE"/>
    <w:rsid w:val="00BF17D9"/>
    <w:rsid w:val="00D429DC"/>
    <w:rsid w:val="00D473C8"/>
    <w:rsid w:val="00E25DDB"/>
    <w:rsid w:val="00EE29BE"/>
    <w:rsid w:val="00F220BD"/>
    <w:rsid w:val="00F761A8"/>
    <w:rsid w:val="037256C3"/>
    <w:rsid w:val="03F91EED"/>
    <w:rsid w:val="04012DDF"/>
    <w:rsid w:val="0C491428"/>
    <w:rsid w:val="0FC42B7A"/>
    <w:rsid w:val="156F0D07"/>
    <w:rsid w:val="162C7577"/>
    <w:rsid w:val="17895756"/>
    <w:rsid w:val="1A117A54"/>
    <w:rsid w:val="1DD721F9"/>
    <w:rsid w:val="26B332F5"/>
    <w:rsid w:val="2C303A86"/>
    <w:rsid w:val="2E557CFC"/>
    <w:rsid w:val="38061AA0"/>
    <w:rsid w:val="416A6603"/>
    <w:rsid w:val="49ED380D"/>
    <w:rsid w:val="4E553EC3"/>
    <w:rsid w:val="5B343A78"/>
    <w:rsid w:val="5BED7194"/>
    <w:rsid w:val="5F885136"/>
    <w:rsid w:val="5FF86A16"/>
    <w:rsid w:val="60CE34A5"/>
    <w:rsid w:val="64E57191"/>
    <w:rsid w:val="676A3C34"/>
    <w:rsid w:val="6D95797B"/>
    <w:rsid w:val="72BF6981"/>
    <w:rsid w:val="76DF0AAC"/>
    <w:rsid w:val="789007BC"/>
    <w:rsid w:val="79B86A44"/>
    <w:rsid w:val="7A3A4D14"/>
    <w:rsid w:val="7B53326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iPriority="99" w:name="header" w:locked="1"/>
    <w:lsdException w:uiPriority="99" w:name="footer" w:locked="1"/>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
    <w:uiPriority w:val="99"/>
  </w:style>
  <w:style w:type="paragraph" w:styleId="3">
    <w:name w:val="Balloon Text"/>
    <w:basedOn w:val="1"/>
    <w:link w:val="10"/>
    <w:semiHidden/>
    <w:uiPriority w:val="99"/>
    <w:rPr>
      <w:sz w:val="18"/>
      <w:szCs w:val="18"/>
    </w:rPr>
  </w:style>
  <w:style w:type="paragraph" w:styleId="4">
    <w:name w:val="footer"/>
    <w:basedOn w:val="1"/>
    <w:semiHidden/>
    <w:unhideWhenUsed/>
    <w:locked/>
    <w:uiPriority w:val="99"/>
    <w:pPr>
      <w:tabs>
        <w:tab w:val="center" w:pos="4153"/>
        <w:tab w:val="right" w:pos="8306"/>
      </w:tabs>
      <w:snapToGrid w:val="0"/>
      <w:jc w:val="left"/>
    </w:pPr>
    <w:rPr>
      <w:sz w:val="18"/>
    </w:rPr>
  </w:style>
  <w:style w:type="paragraph" w:styleId="5">
    <w:name w:val="header"/>
    <w:basedOn w:val="1"/>
    <w:semiHidden/>
    <w:unhideWhenUsed/>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semiHidden/>
    <w:unhideWhenUsed/>
    <w:locked/>
    <w:uiPriority w:val="99"/>
    <w:rPr>
      <w:color w:val="0000FF"/>
      <w:u w:val="single"/>
    </w:rPr>
  </w:style>
  <w:style w:type="character" w:customStyle="1" w:styleId="9">
    <w:name w:val="Body Text Char"/>
    <w:basedOn w:val="7"/>
    <w:link w:val="2"/>
    <w:semiHidden/>
    <w:locked/>
    <w:uiPriority w:val="99"/>
    <w:rPr>
      <w:rFonts w:cs="Times New Roman"/>
      <w:sz w:val="24"/>
      <w:szCs w:val="24"/>
    </w:rPr>
  </w:style>
  <w:style w:type="character" w:customStyle="1" w:styleId="10">
    <w:name w:val="Balloon Text Char"/>
    <w:basedOn w:val="7"/>
    <w:link w:val="3"/>
    <w:semiHidden/>
    <w:qFormat/>
    <w:locked/>
    <w:uiPriority w:val="99"/>
    <w:rPr>
      <w:rFonts w:cs="Times New Roman"/>
      <w:sz w:val="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515</Words>
  <Characters>2939</Characters>
  <Lines>0</Lines>
  <Paragraphs>0</Paragraphs>
  <TotalTime>12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2016-03-23T02:12:00Z</dcterms:created>
  <dc:creator>Administrator</dc:creator>
  <cp:lastModifiedBy>&amp;</cp:lastModifiedBy>
  <cp:lastPrinted>2021-02-01T07:12:00Z</cp:lastPrinted>
  <dcterms:modified xsi:type="dcterms:W3CDTF">2021-02-10T05:35:38Z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384715833_embed</vt:lpwstr>
  </property>
</Properties>
</file>