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333333"/>
          <w:kern w:val="0"/>
          <w:szCs w:val="32"/>
        </w:rPr>
      </w:pPr>
      <w:r>
        <w:rPr>
          <w:rFonts w:ascii="仿宋_GB2312" w:hAnsi="仿宋_GB2312" w:cs="宋体"/>
          <w:color w:val="333333"/>
          <w:kern w:val="0"/>
          <w:szCs w:val="32"/>
        </w:rPr>
        <w:t>表一</w:t>
      </w:r>
    </w:p>
    <w:p>
      <w:pPr>
        <w:widowControl/>
        <w:shd w:val="clear" w:color="auto" w:fill="FFFFFF"/>
        <w:spacing w:line="525" w:lineRule="atLeast"/>
        <w:jc w:val="center"/>
        <w:rPr>
          <w:rFonts w:ascii="宋体" w:hAnsi="宋体" w:eastAsia="宋体" w:cs="宋体"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color w:val="333333"/>
          <w:kern w:val="0"/>
          <w:sz w:val="44"/>
          <w:szCs w:val="44"/>
        </w:rPr>
        <w:t>临江市</w:t>
      </w:r>
      <w:r>
        <w:rPr>
          <w:rFonts w:ascii="宋体" w:hAnsi="宋体" w:eastAsia="宋体" w:cs="宋体"/>
          <w:color w:val="333333"/>
          <w:kern w:val="0"/>
          <w:sz w:val="44"/>
          <w:szCs w:val="44"/>
        </w:rPr>
        <w:t>公安局2023</w:t>
      </w:r>
      <w:r>
        <w:rPr>
          <w:rFonts w:hint="eastAsia" w:ascii="宋体" w:hAnsi="宋体" w:eastAsia="宋体" w:cs="宋体"/>
          <w:color w:val="333333"/>
          <w:kern w:val="0"/>
          <w:sz w:val="44"/>
          <w:szCs w:val="44"/>
        </w:rPr>
        <w:t>年度行政处罚实施情况统计表</w:t>
      </w:r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</w:t>
      </w:r>
    </w:p>
    <w:tbl>
      <w:tblPr>
        <w:tblStyle w:val="7"/>
        <w:tblW w:w="13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633"/>
        <w:gridCol w:w="1673"/>
        <w:gridCol w:w="2223"/>
        <w:gridCol w:w="1417"/>
        <w:gridCol w:w="1701"/>
        <w:gridCol w:w="155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仿宋" w:hAnsi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/>
                <w:color w:val="333333"/>
                <w:kern w:val="0"/>
                <w:sz w:val="24"/>
                <w:szCs w:val="24"/>
                <w:shd w:val="clear" w:color="auto" w:fill="FFFFFF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cs="Times New Roman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警告、通报批评</w:t>
            </w:r>
          </w:p>
          <w:p>
            <w:pPr>
              <w:spacing w:line="400" w:lineRule="exact"/>
              <w:rPr>
                <w:rFonts w:ascii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cs="Times New Roman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罚款、没收违法所得、没收非法财物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cs="Times New Roman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暂扣许可证件、降低资质等级、吊销许可证件</w:t>
            </w: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cs="Times New Roman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限制开展生产经营活动、责令停产停业、责令关闭、限制从业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行政拘留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rPr>
                <w:rFonts w:ascii="仿宋" w:hAnsi="仿宋" w:cs="Times New Roman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其他行政处罚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cs="Times New Roman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合计（宗）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cs="Times New Roman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5" w:lineRule="atLeast"/>
              <w:jc w:val="left"/>
              <w:rPr>
                <w:rFonts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5" w:lineRule="atLeast"/>
              <w:jc w:val="left"/>
              <w:rPr>
                <w:rFonts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color w:val="333333"/>
                <w:kern w:val="0"/>
                <w:sz w:val="24"/>
                <w:szCs w:val="24"/>
              </w:rPr>
              <w:t>2234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5" w:lineRule="atLeast"/>
              <w:jc w:val="left"/>
              <w:rPr>
                <w:rFonts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5" w:lineRule="atLeast"/>
              <w:jc w:val="left"/>
              <w:rPr>
                <w:rFonts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5" w:lineRule="atLeast"/>
              <w:jc w:val="left"/>
              <w:rPr>
                <w:rFonts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color w:val="333333"/>
                <w:kern w:val="0"/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5" w:lineRule="atLeast"/>
              <w:jc w:val="left"/>
              <w:rPr>
                <w:rFonts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5" w:lineRule="atLeast"/>
              <w:jc w:val="left"/>
              <w:rPr>
                <w:rFonts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color w:val="333333"/>
                <w:kern w:val="0"/>
                <w:sz w:val="24"/>
                <w:szCs w:val="24"/>
              </w:rPr>
              <w:t>2524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5" w:lineRule="atLeast"/>
              <w:jc w:val="left"/>
              <w:rPr>
                <w:rFonts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6</w:t>
            </w:r>
            <w:r>
              <w:rPr>
                <w:rFonts w:ascii="仿宋" w:hAnsi="仿宋" w:cs="宋体"/>
                <w:color w:val="333333"/>
                <w:kern w:val="0"/>
                <w:sz w:val="24"/>
                <w:szCs w:val="24"/>
              </w:rPr>
              <w:t>4.6</w:t>
            </w:r>
          </w:p>
        </w:tc>
      </w:tr>
    </w:tbl>
    <w:p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Cs w:val="32"/>
        </w:rPr>
      </w:pPr>
    </w:p>
    <w:p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Cs w:val="32"/>
        </w:rPr>
      </w:pPr>
    </w:p>
    <w:p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Cs w:val="32"/>
        </w:rPr>
      </w:pPr>
    </w:p>
    <w:p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Cs w:val="32"/>
        </w:rPr>
      </w:pPr>
    </w:p>
    <w:p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cs="宋体"/>
          <w:color w:val="333333"/>
          <w:kern w:val="0"/>
          <w:szCs w:val="32"/>
        </w:rPr>
      </w:pPr>
    </w:p>
    <w:p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Cs w:val="32"/>
        </w:rPr>
      </w:pPr>
    </w:p>
    <w:p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Cs w:val="32"/>
        </w:rPr>
      </w:pPr>
    </w:p>
    <w:p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333333"/>
          <w:kern w:val="0"/>
          <w:szCs w:val="32"/>
        </w:rPr>
      </w:pPr>
      <w:r>
        <w:rPr>
          <w:rFonts w:ascii="仿宋_GB2312" w:hAnsi="仿宋_GB2312" w:cs="宋体"/>
          <w:color w:val="333333"/>
          <w:kern w:val="0"/>
          <w:szCs w:val="32"/>
        </w:rPr>
        <w:t>表二</w:t>
      </w:r>
    </w:p>
    <w:p>
      <w:pPr>
        <w:widowControl/>
        <w:shd w:val="clear" w:color="auto" w:fill="FFFFFF"/>
        <w:spacing w:line="525" w:lineRule="atLeast"/>
        <w:jc w:val="center"/>
        <w:rPr>
          <w:rFonts w:cs="宋体" w:asciiTheme="minorEastAsia" w:hAnsiTheme="minorEastAsia" w:eastAsiaTheme="minorEastAsia"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color w:val="333333"/>
          <w:kern w:val="0"/>
          <w:sz w:val="44"/>
          <w:szCs w:val="44"/>
        </w:rPr>
        <w:t>临江市</w:t>
      </w:r>
      <w:r>
        <w:rPr>
          <w:rFonts w:ascii="宋体" w:hAnsi="宋体" w:eastAsia="宋体" w:cs="宋体"/>
          <w:color w:val="333333"/>
          <w:kern w:val="0"/>
          <w:sz w:val="44"/>
          <w:szCs w:val="44"/>
        </w:rPr>
        <w:t>公安局2023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44"/>
          <w:szCs w:val="44"/>
        </w:rPr>
        <w:t>年度行政许可实施情况统计表</w:t>
      </w:r>
    </w:p>
    <w:p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6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申请数量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受理数量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许可数量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不予许可数量</w:t>
            </w:r>
          </w:p>
        </w:tc>
        <w:tc>
          <w:tcPr>
            <w:tcW w:w="6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cs="Times New Roman" w:eastAsia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cs="Times New Roman" w:eastAsiaTheme="minorEastAsia"/>
                <w:color w:val="333333"/>
                <w:kern w:val="0"/>
                <w:sz w:val="24"/>
                <w:szCs w:val="24"/>
              </w:rPr>
              <w:t>14191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cs="Times New Roman" w:eastAsia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cs="Times New Roman" w:eastAsiaTheme="minorEastAsia"/>
                <w:color w:val="333333"/>
                <w:kern w:val="0"/>
                <w:sz w:val="24"/>
                <w:szCs w:val="24"/>
              </w:rPr>
              <w:t>14191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cs="Times New Roman" w:eastAsia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cs="Times New Roman" w:eastAsiaTheme="minorEastAsia"/>
                <w:color w:val="333333"/>
                <w:kern w:val="0"/>
                <w:sz w:val="24"/>
                <w:szCs w:val="24"/>
              </w:rPr>
              <w:t>14191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cs="Times New Roman" w:eastAsia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Times New Roman" w:eastAsiaTheme="minor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6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525" w:lineRule="atLeast"/>
        <w:jc w:val="left"/>
        <w:rPr>
          <w:rFonts w:ascii="仿宋" w:hAnsi="仿宋"/>
          <w:color w:val="333333"/>
          <w:kern w:val="0"/>
        </w:rPr>
      </w:pPr>
    </w:p>
    <w:p>
      <w:pPr>
        <w:widowControl/>
        <w:shd w:val="clear" w:color="auto" w:fill="FFFFFF"/>
        <w:spacing w:line="525" w:lineRule="atLeast"/>
        <w:jc w:val="left"/>
        <w:rPr>
          <w:rFonts w:ascii="仿宋" w:hAnsi="仿宋"/>
          <w:color w:val="333333"/>
          <w:kern w:val="0"/>
        </w:rPr>
      </w:pPr>
    </w:p>
    <w:p>
      <w:pPr>
        <w:widowControl/>
        <w:shd w:val="clear" w:color="auto" w:fill="FFFFFF"/>
        <w:spacing w:line="525" w:lineRule="atLeast"/>
        <w:jc w:val="left"/>
        <w:rPr>
          <w:rFonts w:ascii="仿宋" w:hAnsi="仿宋"/>
          <w:color w:val="333333"/>
          <w:kern w:val="0"/>
        </w:rPr>
      </w:pPr>
    </w:p>
    <w:p>
      <w:pPr>
        <w:widowControl/>
        <w:shd w:val="clear" w:color="auto" w:fill="FFFFFF"/>
        <w:spacing w:line="525" w:lineRule="atLeast"/>
        <w:jc w:val="left"/>
        <w:rPr>
          <w:rFonts w:ascii="仿宋" w:hAnsi="仿宋"/>
          <w:color w:val="333333"/>
          <w:kern w:val="0"/>
        </w:rPr>
      </w:pPr>
    </w:p>
    <w:p>
      <w:pPr>
        <w:widowControl/>
        <w:shd w:val="clear" w:color="auto" w:fill="FFFFFF"/>
        <w:spacing w:line="525" w:lineRule="atLeast"/>
        <w:jc w:val="left"/>
        <w:rPr>
          <w:rFonts w:ascii="仿宋" w:hAnsi="仿宋"/>
          <w:color w:val="333333"/>
          <w:kern w:val="0"/>
        </w:rPr>
      </w:pPr>
    </w:p>
    <w:p>
      <w:pPr>
        <w:widowControl/>
        <w:shd w:val="clear" w:color="auto" w:fill="FFFFFF"/>
        <w:spacing w:line="525" w:lineRule="atLeast"/>
        <w:jc w:val="left"/>
        <w:rPr>
          <w:rFonts w:hint="eastAsia" w:ascii="仿宋" w:hAnsi="仿宋"/>
          <w:color w:val="333333"/>
          <w:kern w:val="0"/>
        </w:rPr>
      </w:pPr>
    </w:p>
    <w:p>
      <w:pPr>
        <w:widowControl/>
        <w:shd w:val="clear" w:color="auto" w:fill="FFFFFF"/>
        <w:spacing w:line="525" w:lineRule="atLeast"/>
        <w:jc w:val="left"/>
        <w:rPr>
          <w:rFonts w:hint="eastAsia" w:ascii="仿宋" w:hAnsi="仿宋"/>
          <w:color w:val="333333"/>
          <w:kern w:val="0"/>
        </w:rPr>
      </w:pPr>
    </w:p>
    <w:p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333333"/>
          <w:kern w:val="0"/>
          <w:szCs w:val="32"/>
        </w:rPr>
      </w:pPr>
      <w:r>
        <w:rPr>
          <w:rFonts w:ascii="仿宋_GB2312" w:hAnsi="仿宋_GB2312" w:cs="宋体"/>
          <w:color w:val="333333"/>
          <w:kern w:val="0"/>
          <w:szCs w:val="32"/>
        </w:rPr>
        <w:t>表三</w:t>
      </w:r>
    </w:p>
    <w:p>
      <w:pPr>
        <w:widowControl/>
        <w:shd w:val="clear" w:color="auto" w:fill="FFFFFF"/>
        <w:spacing w:line="525" w:lineRule="atLeast"/>
        <w:jc w:val="center"/>
        <w:rPr>
          <w:rFonts w:cs="宋体" w:asciiTheme="minorEastAsia" w:hAnsiTheme="minorEastAsia" w:eastAsiaTheme="minorEastAsia"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color w:val="333333"/>
          <w:kern w:val="0"/>
          <w:sz w:val="44"/>
          <w:szCs w:val="44"/>
        </w:rPr>
        <w:t>临江市</w:t>
      </w:r>
      <w:r>
        <w:rPr>
          <w:rFonts w:ascii="宋体" w:hAnsi="宋体" w:eastAsia="宋体" w:cs="宋体"/>
          <w:color w:val="333333"/>
          <w:kern w:val="0"/>
          <w:sz w:val="44"/>
          <w:szCs w:val="44"/>
        </w:rPr>
        <w:t>公安局2023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44"/>
          <w:szCs w:val="44"/>
        </w:rPr>
        <w:t>年度行政强制</w:t>
      </w:r>
    </w:p>
    <w:p>
      <w:pPr>
        <w:widowControl/>
        <w:shd w:val="clear" w:color="auto" w:fill="FFFFFF"/>
        <w:spacing w:line="525" w:lineRule="atLeast"/>
        <w:jc w:val="center"/>
        <w:rPr>
          <w:rFonts w:cs="宋体" w:asciiTheme="minorEastAsia" w:hAnsiTheme="minorEastAsia" w:eastAsiaTheme="minorEastAsia"/>
          <w:color w:val="333333"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color w:val="333333"/>
          <w:kern w:val="0"/>
          <w:sz w:val="44"/>
          <w:szCs w:val="44"/>
        </w:rPr>
        <w:t>实施情况统计表</w:t>
      </w:r>
    </w:p>
    <w:p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tbl>
      <w:tblPr>
        <w:tblStyle w:val="7"/>
        <w:tblW w:w="14134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691"/>
        <w:gridCol w:w="1047"/>
        <w:gridCol w:w="1165"/>
        <w:gridCol w:w="1283"/>
        <w:gridCol w:w="1047"/>
        <w:gridCol w:w="2475"/>
        <w:gridCol w:w="1751"/>
        <w:gridCol w:w="572"/>
        <w:gridCol w:w="929"/>
        <w:gridCol w:w="1166"/>
        <w:gridCol w:w="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行政强制措施实施数量（宗）</w:t>
            </w:r>
          </w:p>
        </w:tc>
        <w:tc>
          <w:tcPr>
            <w:tcW w:w="92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行政强制执行实施数量（宗）</w:t>
            </w:r>
          </w:p>
        </w:tc>
        <w:tc>
          <w:tcPr>
            <w:tcW w:w="45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5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查封场所、设施或者财物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扣押财物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Style w:val="11"/>
                <w:rFonts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冻结</w:t>
            </w:r>
          </w:p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存款、汇款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Style w:val="11"/>
                <w:rFonts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其他</w:t>
            </w:r>
          </w:p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行政强制措施</w:t>
            </w:r>
          </w:p>
        </w:tc>
        <w:tc>
          <w:tcPr>
            <w:tcW w:w="80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行政机关强制执行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Style w:val="11"/>
                <w:rFonts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申请</w:t>
            </w:r>
          </w:p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法院强制执行</w:t>
            </w: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加处罚款或者滞纳金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划拨存款、汇款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Style w:val="11"/>
                <w:rFonts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拍卖或者依法处理</w:t>
            </w:r>
          </w:p>
          <w:p>
            <w:pPr>
              <w:widowControl/>
              <w:spacing w:line="525" w:lineRule="atLeast"/>
              <w:rPr>
                <w:rFonts w:ascii="仿宋" w:hAnsi="仿宋" w:eastAsia="Times New Roman" w:cs="Calibri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查封、扣押的场所、设施或者财物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排除妨碍、恢复原状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代履行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其他强制执行</w:t>
            </w: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cs="Times New Roman" w:eastAsia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Times New Roman" w:eastAsiaTheme="minor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cs="Times New Roman" w:eastAsia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Times New Roman" w:eastAsiaTheme="minorEastAsia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cs="Times New Roman" w:eastAsia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Times New Roman" w:eastAsiaTheme="minor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cs="Times New Roman" w:eastAsia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Times New Roman" w:eastAsiaTheme="minorEastAsia"/>
                <w:color w:val="333333"/>
                <w:kern w:val="0"/>
                <w:sz w:val="24"/>
                <w:szCs w:val="24"/>
              </w:rPr>
              <w:t>245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cs="Times New Roman" w:eastAsiaTheme="minorEastAsia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Times New Roman" w:eastAsiaTheme="minorEastAsia"/>
                <w:color w:val="333333"/>
                <w:kern w:val="0"/>
                <w:sz w:val="18"/>
                <w:szCs w:val="18"/>
              </w:rPr>
              <w:t>276</w:t>
            </w:r>
          </w:p>
        </w:tc>
      </w:tr>
    </w:tbl>
    <w:p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cs="宋体"/>
          <w:color w:val="333333"/>
          <w:kern w:val="0"/>
          <w:szCs w:val="32"/>
        </w:rPr>
      </w:pPr>
    </w:p>
    <w:p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cs="宋体"/>
          <w:color w:val="333333"/>
          <w:kern w:val="0"/>
          <w:szCs w:val="32"/>
        </w:rPr>
      </w:pPr>
    </w:p>
    <w:p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333333"/>
          <w:kern w:val="0"/>
          <w:szCs w:val="32"/>
        </w:rPr>
      </w:pPr>
      <w:r>
        <w:rPr>
          <w:rFonts w:ascii="仿宋_GB2312" w:hAnsi="仿宋_GB2312" w:cs="宋体"/>
          <w:color w:val="333333"/>
          <w:kern w:val="0"/>
          <w:szCs w:val="32"/>
        </w:rPr>
        <w:t>表四</w:t>
      </w:r>
    </w:p>
    <w:p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Cs w:val="32"/>
        </w:rPr>
        <w:t>临江市公安局2023年度其他行政执法行为实施情况统计表</w:t>
      </w:r>
    </w:p>
    <w:p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tbl>
      <w:tblPr>
        <w:tblStyle w:val="7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173"/>
        <w:gridCol w:w="1085"/>
        <w:gridCol w:w="652"/>
        <w:gridCol w:w="698"/>
        <w:gridCol w:w="652"/>
        <w:gridCol w:w="2173"/>
        <w:gridCol w:w="1085"/>
        <w:gridCol w:w="652"/>
        <w:gridCol w:w="2173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行政征收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行政检查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行政裁决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行政给付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行政确认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行政奖励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征收总金额（万元）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525" w:lineRule="atLeast"/>
              <w:jc w:val="center"/>
              <w:rPr>
                <w:rFonts w:ascii="仿宋" w:hAnsi="仿宋" w:eastAsia="仿宋" w:cs="Times New Roman"/>
                <w:color w:val="333333"/>
              </w:rPr>
            </w:pPr>
            <w:r>
              <w:rPr>
                <w:rStyle w:val="11"/>
                <w:rFonts w:hint="eastAsia" w:ascii="仿宋" w:hAnsi="仿宋" w:eastAsia="仿宋"/>
                <w:color w:val="333333"/>
              </w:rPr>
              <w:t>涉及金额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525" w:lineRule="atLeast"/>
              <w:jc w:val="center"/>
              <w:rPr>
                <w:rFonts w:ascii="仿宋" w:hAnsi="仿宋" w:eastAsia="仿宋" w:cs="Times New Roman"/>
                <w:color w:val="333333"/>
              </w:rPr>
            </w:pPr>
            <w:r>
              <w:rPr>
                <w:rStyle w:val="11"/>
                <w:rFonts w:hint="eastAsia" w:ascii="仿宋" w:hAnsi="仿宋" w:eastAsia="仿宋"/>
                <w:color w:val="333333"/>
              </w:rPr>
              <w:t>（万元）</w:t>
            </w:r>
          </w:p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给付总金额（万元）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奖励总金额（万元）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widowControl/>
        <w:shd w:val="clear" w:color="auto" w:fill="FFFFFF"/>
        <w:spacing w:line="555" w:lineRule="atLeast"/>
        <w:jc w:val="center"/>
        <w:rPr>
          <w:rFonts w:hint="eastAsia" w:cs="宋体" w:asciiTheme="minorEastAsia" w:hAnsiTheme="minorEastAsia" w:eastAsiaTheme="minorEastAsia"/>
          <w:color w:val="333333"/>
          <w:kern w:val="0"/>
          <w:sz w:val="44"/>
          <w:szCs w:val="4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435" w:charSpace="0"/>
        </w:sectPr>
      </w:pPr>
    </w:p>
    <w:p>
      <w:pPr>
        <w:widowControl/>
        <w:shd w:val="clear" w:color="auto" w:fill="FFFFFF"/>
        <w:spacing w:line="555" w:lineRule="atLeast"/>
        <w:jc w:val="center"/>
        <w:rPr>
          <w:rFonts w:cs="宋体" w:asciiTheme="minorEastAsia" w:hAnsiTheme="minorEastAsia" w:eastAsiaTheme="minorEastAsia"/>
          <w:color w:val="333333"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color w:val="333333"/>
          <w:kern w:val="0"/>
          <w:sz w:val="44"/>
          <w:szCs w:val="44"/>
        </w:rPr>
        <w:t>临江市公安局2023年度行政执法</w:t>
      </w:r>
    </w:p>
    <w:p>
      <w:pPr>
        <w:widowControl/>
        <w:shd w:val="clear" w:color="auto" w:fill="FFFFFF"/>
        <w:spacing w:line="555" w:lineRule="atLeast"/>
        <w:jc w:val="center"/>
        <w:rPr>
          <w:rFonts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情况说明</w:t>
      </w:r>
    </w:p>
    <w:p>
      <w:pPr>
        <w:widowControl/>
        <w:shd w:val="clear" w:color="auto" w:fill="FFFFFF"/>
        <w:spacing w:line="555" w:lineRule="atLeast"/>
        <w:jc w:val="left"/>
        <w:rPr>
          <w:rFonts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一、行政处罚实施情况说明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临江市公安局</w:t>
      </w:r>
      <w:r>
        <w:rPr>
          <w:rFonts w:ascii="仿宋" w:hAnsi="仿宋"/>
          <w:color w:val="333333"/>
          <w:kern w:val="0"/>
        </w:rPr>
        <w:t>2023</w:t>
      </w:r>
      <w:r>
        <w:rPr>
          <w:rFonts w:hint="eastAsia" w:ascii="仿宋" w:hAnsi="仿宋"/>
          <w:color w:val="333333"/>
          <w:kern w:val="0"/>
        </w:rPr>
        <w:t>年度行政处罚总数为2</w:t>
      </w:r>
      <w:r>
        <w:rPr>
          <w:rFonts w:ascii="仿宋" w:hAnsi="仿宋"/>
          <w:color w:val="333333"/>
          <w:kern w:val="0"/>
        </w:rPr>
        <w:t>524</w:t>
      </w:r>
      <w:r>
        <w:rPr>
          <w:rFonts w:hint="eastAsia" w:ascii="仿宋" w:hAnsi="仿宋"/>
          <w:color w:val="333333"/>
          <w:kern w:val="0"/>
        </w:rPr>
        <w:t>宗，罚没收入6</w:t>
      </w:r>
      <w:r>
        <w:rPr>
          <w:rFonts w:ascii="仿宋" w:hAnsi="仿宋"/>
          <w:color w:val="333333"/>
          <w:kern w:val="0"/>
        </w:rPr>
        <w:t>4.6万元。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临江市公安局</w:t>
      </w:r>
      <w:r>
        <w:rPr>
          <w:rFonts w:ascii="仿宋" w:hAnsi="仿宋"/>
          <w:color w:val="333333"/>
          <w:kern w:val="0"/>
        </w:rPr>
        <w:t>2023</w:t>
      </w:r>
      <w:r>
        <w:rPr>
          <w:rFonts w:hint="eastAsia" w:ascii="仿宋" w:hAnsi="仿宋"/>
          <w:color w:val="333333"/>
          <w:kern w:val="0"/>
        </w:rPr>
        <w:t>年度行政处罚被申请行政复议</w:t>
      </w:r>
      <w:r>
        <w:rPr>
          <w:rFonts w:ascii="仿宋" w:hAnsi="仿宋"/>
          <w:color w:val="333333"/>
          <w:kern w:val="0"/>
        </w:rPr>
        <w:t>9</w:t>
      </w:r>
      <w:r>
        <w:rPr>
          <w:rFonts w:hint="eastAsia" w:ascii="仿宋" w:hAnsi="仿宋"/>
          <w:color w:val="333333"/>
          <w:kern w:val="0"/>
        </w:rPr>
        <w:t>宗，占行政处罚总数的0</w:t>
      </w:r>
      <w:r>
        <w:rPr>
          <w:rFonts w:ascii="仿宋" w:hAnsi="仿宋"/>
          <w:color w:val="333333"/>
          <w:kern w:val="0"/>
        </w:rPr>
        <w:t>.36</w:t>
      </w:r>
      <w:r>
        <w:rPr>
          <w:rFonts w:hint="eastAsia" w:ascii="仿宋" w:hAnsi="仿宋"/>
          <w:color w:val="333333"/>
          <w:kern w:val="0"/>
        </w:rPr>
        <w:t>%；行政复议决定撤销、变更或者确认违法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%，占行政处罚总数的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%。行政复议后又被提起行政诉讼</w:t>
      </w:r>
      <w:r>
        <w:rPr>
          <w:rFonts w:ascii="仿宋" w:hAnsi="仿宋"/>
          <w:color w:val="333333"/>
          <w:kern w:val="0"/>
        </w:rPr>
        <w:t>3</w:t>
      </w:r>
      <w:r>
        <w:rPr>
          <w:rFonts w:hint="eastAsia" w:ascii="仿宋" w:hAnsi="仿宋"/>
          <w:color w:val="333333"/>
          <w:kern w:val="0"/>
        </w:rPr>
        <w:t>宗，判决撤销、部分撤销、变更、确认违法或者确认无效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%，占行政处罚总数的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临江市公安局</w:t>
      </w:r>
      <w:r>
        <w:rPr>
          <w:rFonts w:ascii="仿宋" w:hAnsi="仿宋"/>
          <w:color w:val="333333"/>
          <w:kern w:val="0"/>
        </w:rPr>
        <w:t>2023</w:t>
      </w:r>
      <w:r>
        <w:rPr>
          <w:rFonts w:hint="eastAsia" w:ascii="仿宋" w:hAnsi="仿宋"/>
          <w:color w:val="333333"/>
          <w:kern w:val="0"/>
        </w:rPr>
        <w:t>年度行政处罚直接被提起行政诉讼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宗，占行政处罚总数的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%；判决撤销、部分撤销、变更、确认违法或者确认无效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%，占行政处罚总数的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二、行政许可实施情况说明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临江市公安局</w:t>
      </w:r>
      <w:r>
        <w:rPr>
          <w:rFonts w:ascii="仿宋" w:hAnsi="仿宋"/>
          <w:color w:val="333333"/>
          <w:kern w:val="0"/>
        </w:rPr>
        <w:t>2023</w:t>
      </w:r>
      <w:r>
        <w:rPr>
          <w:rFonts w:hint="eastAsia" w:ascii="仿宋" w:hAnsi="仿宋"/>
          <w:color w:val="333333"/>
          <w:kern w:val="0"/>
        </w:rPr>
        <w:t>年度行政许可申请总数为</w:t>
      </w:r>
      <w:r>
        <w:rPr>
          <w:rFonts w:ascii="仿宋" w:hAnsi="仿宋"/>
          <w:color w:val="333333"/>
          <w:kern w:val="0"/>
        </w:rPr>
        <w:t>14191</w:t>
      </w:r>
      <w:r>
        <w:rPr>
          <w:rFonts w:hint="eastAsia" w:ascii="仿宋" w:hAnsi="仿宋"/>
          <w:color w:val="333333"/>
          <w:kern w:val="0"/>
        </w:rPr>
        <w:t>宗，予以许可</w:t>
      </w:r>
      <w:r>
        <w:rPr>
          <w:rFonts w:ascii="仿宋" w:hAnsi="仿宋"/>
          <w:color w:val="333333"/>
          <w:kern w:val="0"/>
        </w:rPr>
        <w:t>14191</w:t>
      </w:r>
      <w:r>
        <w:rPr>
          <w:rFonts w:hint="eastAsia" w:ascii="仿宋" w:hAnsi="仿宋"/>
          <w:color w:val="333333"/>
          <w:kern w:val="0"/>
        </w:rPr>
        <w:t>宗。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临江市公安局</w:t>
      </w:r>
      <w:r>
        <w:rPr>
          <w:rFonts w:ascii="仿宋" w:hAnsi="仿宋"/>
          <w:color w:val="333333"/>
          <w:kern w:val="0"/>
        </w:rPr>
        <w:t>2023</w:t>
      </w:r>
      <w:r>
        <w:rPr>
          <w:rFonts w:hint="eastAsia" w:ascii="仿宋" w:hAnsi="仿宋"/>
          <w:color w:val="333333"/>
          <w:kern w:val="0"/>
        </w:rPr>
        <w:t>年度行政许可（含不予受理、予以许可和不予许可）被申请行政复议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宗，占行政许可申请总数的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%；行政复议决定履行法定职责、撤销、变更或者确认违法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%，占行政许可申请总数的XX%。行政复议后又被提起行政诉讼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宗，判决履行法定职责、撤销、部分撤销、变更、确认违法或者确认无效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%，占行政许可申请总数的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临江市公安局</w:t>
      </w:r>
      <w:r>
        <w:rPr>
          <w:rFonts w:ascii="仿宋" w:hAnsi="仿宋"/>
          <w:color w:val="333333"/>
          <w:kern w:val="0"/>
        </w:rPr>
        <w:t>2023</w:t>
      </w:r>
      <w:r>
        <w:rPr>
          <w:rFonts w:hint="eastAsia" w:ascii="仿宋" w:hAnsi="仿宋"/>
          <w:color w:val="333333"/>
          <w:kern w:val="0"/>
        </w:rPr>
        <w:t>年度行政许可（含不予受理、予以许可和不予许可）直接被提起行政诉讼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宗，占行政许可申请总数的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%；判决履行法定职责、撤销、部分撤销、变更、确认违法或者确认无效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%，占行政许可申请总数的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三、行政强制实施情况说明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临江市公安局</w:t>
      </w:r>
      <w:r>
        <w:rPr>
          <w:rFonts w:ascii="仿宋" w:hAnsi="仿宋"/>
          <w:color w:val="333333"/>
          <w:kern w:val="0"/>
        </w:rPr>
        <w:t>2023</w:t>
      </w:r>
      <w:r>
        <w:rPr>
          <w:rFonts w:hint="eastAsia" w:ascii="仿宋" w:hAnsi="仿宋"/>
          <w:color w:val="333333"/>
          <w:kern w:val="0"/>
        </w:rPr>
        <w:t>年度行政强制总数为</w:t>
      </w:r>
      <w:r>
        <w:rPr>
          <w:rFonts w:ascii="仿宋" w:hAnsi="仿宋"/>
          <w:color w:val="333333"/>
          <w:kern w:val="0"/>
        </w:rPr>
        <w:t>276</w:t>
      </w:r>
      <w:r>
        <w:rPr>
          <w:rFonts w:hint="eastAsia" w:ascii="仿宋" w:hAnsi="仿宋"/>
          <w:color w:val="333333"/>
          <w:kern w:val="0"/>
        </w:rPr>
        <w:t>宗。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临江市公安局</w:t>
      </w:r>
      <w:r>
        <w:rPr>
          <w:rFonts w:ascii="仿宋" w:hAnsi="仿宋"/>
          <w:color w:val="333333"/>
          <w:kern w:val="0"/>
        </w:rPr>
        <w:t>2023</w:t>
      </w:r>
      <w:r>
        <w:rPr>
          <w:rFonts w:hint="eastAsia" w:ascii="仿宋" w:hAnsi="仿宋"/>
          <w:color w:val="333333"/>
          <w:kern w:val="0"/>
        </w:rPr>
        <w:t>年度行政强制被申请行政复议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宗，占行政强制总数的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%；行政复议决定撤销、变更或者确认违法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%，占行政强制总数的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%。行政复议后又被提起行政诉讼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宗，判决撤销、部分撤销、变更、确认违法或者确认无效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%，占行政强制总数的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临江市公安局</w:t>
      </w:r>
      <w:r>
        <w:rPr>
          <w:rFonts w:ascii="仿宋" w:hAnsi="仿宋"/>
          <w:color w:val="333333"/>
          <w:kern w:val="0"/>
        </w:rPr>
        <w:t>2023</w:t>
      </w:r>
      <w:r>
        <w:rPr>
          <w:rFonts w:hint="eastAsia" w:ascii="仿宋" w:hAnsi="仿宋"/>
          <w:color w:val="333333"/>
          <w:kern w:val="0"/>
        </w:rPr>
        <w:t>年度行政强制直接被提起行政诉讼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宗，占行政强制总数的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%；判决撤销、部分撤销、变更、确认违法或者确认无效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%，占行政强制总数的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四、行政征收实施情况说明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临江市公安局</w:t>
      </w:r>
      <w:r>
        <w:rPr>
          <w:rFonts w:ascii="仿宋" w:hAnsi="仿宋"/>
          <w:color w:val="333333"/>
          <w:kern w:val="0"/>
        </w:rPr>
        <w:t>2023</w:t>
      </w:r>
      <w:r>
        <w:rPr>
          <w:rFonts w:hint="eastAsia" w:ascii="仿宋" w:hAnsi="仿宋"/>
          <w:color w:val="333333"/>
          <w:kern w:val="0"/>
        </w:rPr>
        <w:t>年度行政征收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五、行政检查实施情况说明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hint="eastAsia" w:ascii="仿宋" w:hAnsi="仿宋"/>
          <w:color w:val="333333"/>
          <w:kern w:val="0"/>
        </w:rPr>
      </w:pPr>
      <w:r>
        <w:rPr>
          <w:rFonts w:ascii="仿宋" w:hAnsi="仿宋"/>
          <w:color w:val="333333"/>
          <w:kern w:val="0"/>
        </w:rPr>
        <w:t>2023</w:t>
      </w:r>
      <w:r>
        <w:rPr>
          <w:rFonts w:hint="eastAsia" w:ascii="仿宋" w:hAnsi="仿宋"/>
          <w:color w:val="333333"/>
          <w:kern w:val="0"/>
        </w:rPr>
        <w:t>年度行政检查</w:t>
      </w:r>
      <w:r>
        <w:rPr>
          <w:rFonts w:ascii="仿宋" w:hAnsi="仿宋"/>
          <w:color w:val="333333"/>
          <w:kern w:val="0"/>
        </w:rPr>
        <w:t>无该职能。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临江市公安局</w:t>
      </w:r>
      <w:r>
        <w:rPr>
          <w:rFonts w:ascii="仿宋" w:hAnsi="仿宋"/>
          <w:color w:val="333333"/>
          <w:kern w:val="0"/>
        </w:rPr>
        <w:t>2023</w:t>
      </w:r>
      <w:r>
        <w:rPr>
          <w:rFonts w:hint="eastAsia" w:ascii="仿宋" w:hAnsi="仿宋"/>
          <w:color w:val="333333"/>
          <w:kern w:val="0"/>
        </w:rPr>
        <w:t>年度行政检查被申请行政复议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宗，占行政检查总数的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%；行政复议决定确认违法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%，占行政检查总数的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%。行政复议后又被提起行政诉讼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宗，判决确认违法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%，占行政检查总数的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临江市公安局</w:t>
      </w:r>
      <w:r>
        <w:rPr>
          <w:rFonts w:ascii="仿宋" w:hAnsi="仿宋"/>
          <w:color w:val="333333"/>
          <w:kern w:val="0"/>
        </w:rPr>
        <w:t>2023</w:t>
      </w:r>
      <w:r>
        <w:rPr>
          <w:rFonts w:hint="eastAsia" w:ascii="仿宋" w:hAnsi="仿宋"/>
          <w:color w:val="333333"/>
          <w:kern w:val="0"/>
        </w:rPr>
        <w:t>年度行政检查直接被提起行政诉讼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宗，占行政检查总数的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%；判决确认违法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%，占行政检查总数的</w:t>
      </w:r>
      <w:r>
        <w:rPr>
          <w:rFonts w:ascii="仿宋" w:hAnsi="仿宋"/>
          <w:color w:val="333333"/>
          <w:kern w:val="0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六、行政裁决实施情况说明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333333"/>
          <w:kern w:val="0"/>
        </w:rPr>
      </w:pPr>
      <w:r>
        <w:rPr>
          <w:rFonts w:ascii="仿宋" w:hAnsi="仿宋"/>
          <w:color w:val="333333"/>
          <w:kern w:val="0"/>
        </w:rPr>
        <w:t>2023</w:t>
      </w:r>
      <w:r>
        <w:rPr>
          <w:rFonts w:hint="eastAsia" w:ascii="仿宋" w:hAnsi="仿宋"/>
          <w:color w:val="333333"/>
          <w:kern w:val="0"/>
        </w:rPr>
        <w:t>年度行政裁决</w:t>
      </w:r>
      <w:r>
        <w:rPr>
          <w:rFonts w:ascii="仿宋" w:hAnsi="仿宋"/>
          <w:color w:val="333333"/>
          <w:kern w:val="0"/>
        </w:rPr>
        <w:t>无该职能。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七、行政给付实施情况说明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333333"/>
          <w:kern w:val="0"/>
        </w:rPr>
      </w:pPr>
      <w:r>
        <w:rPr>
          <w:rFonts w:ascii="仿宋" w:hAnsi="仿宋"/>
          <w:color w:val="333333"/>
          <w:kern w:val="0"/>
        </w:rPr>
        <w:t>2023</w:t>
      </w:r>
      <w:r>
        <w:rPr>
          <w:rFonts w:hint="eastAsia" w:ascii="仿宋" w:hAnsi="仿宋"/>
          <w:color w:val="333333"/>
          <w:kern w:val="0"/>
        </w:rPr>
        <w:t>年度行政给付</w:t>
      </w:r>
      <w:r>
        <w:rPr>
          <w:rFonts w:ascii="仿宋" w:hAnsi="仿宋"/>
          <w:color w:val="333333"/>
          <w:kern w:val="0"/>
        </w:rPr>
        <w:t>无该职能。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八、行政确认实施情况说明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临江市公安局</w:t>
      </w:r>
      <w:r>
        <w:rPr>
          <w:rFonts w:ascii="仿宋" w:hAnsi="仿宋"/>
          <w:color w:val="333333"/>
          <w:kern w:val="0"/>
        </w:rPr>
        <w:t>2023</w:t>
      </w:r>
      <w:r>
        <w:rPr>
          <w:rFonts w:hint="eastAsia" w:ascii="仿宋" w:hAnsi="仿宋"/>
          <w:color w:val="333333"/>
          <w:kern w:val="0"/>
        </w:rPr>
        <w:t>年度行政确认总数为XXXX次。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九、行政奖励实施情况说明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333333"/>
          <w:kern w:val="0"/>
        </w:rPr>
      </w:pPr>
      <w:r>
        <w:rPr>
          <w:rFonts w:ascii="仿宋" w:hAnsi="仿宋"/>
          <w:color w:val="333333"/>
          <w:kern w:val="0"/>
        </w:rPr>
        <w:t>2023</w:t>
      </w:r>
      <w:r>
        <w:rPr>
          <w:rFonts w:hint="eastAsia" w:ascii="仿宋" w:hAnsi="仿宋"/>
          <w:color w:val="333333"/>
          <w:kern w:val="0"/>
        </w:rPr>
        <w:t>年度行政奖励</w:t>
      </w:r>
      <w:r>
        <w:rPr>
          <w:rFonts w:ascii="仿宋" w:hAnsi="仿宋"/>
          <w:color w:val="333333"/>
          <w:kern w:val="0"/>
        </w:rPr>
        <w:t>无该职能。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十、其他行政执法行为实施情况说明</w:t>
      </w:r>
    </w:p>
    <w:p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333333"/>
          <w:kern w:val="0"/>
        </w:rPr>
      </w:pPr>
      <w:r>
        <w:rPr>
          <w:rFonts w:ascii="仿宋" w:hAnsi="仿宋"/>
          <w:color w:val="333333"/>
          <w:kern w:val="0"/>
        </w:rPr>
        <w:t>2023</w:t>
      </w:r>
      <w:r>
        <w:rPr>
          <w:rFonts w:hint="eastAsia" w:ascii="仿宋" w:hAnsi="仿宋"/>
          <w:color w:val="333333"/>
          <w:kern w:val="0"/>
        </w:rPr>
        <w:t>年度其他行政执法行为</w:t>
      </w:r>
      <w:r>
        <w:rPr>
          <w:rFonts w:ascii="仿宋" w:hAnsi="仿宋"/>
          <w:color w:val="333333"/>
          <w:kern w:val="0"/>
        </w:rPr>
        <w:t>无该职能。</w:t>
      </w:r>
    </w:p>
    <w:p>
      <w:pPr>
        <w:rPr>
          <w:rFonts w:ascii="仿宋" w:hAnsi="仿宋"/>
          <w:color w:val="333333"/>
          <w:kern w:val="0"/>
        </w:rPr>
      </w:pPr>
    </w:p>
    <w:p>
      <w:pPr>
        <w:rPr>
          <w:rFonts w:ascii="仿宋" w:hAnsi="仿宋"/>
          <w:color w:val="333333"/>
          <w:kern w:val="0"/>
        </w:rPr>
      </w:pPr>
    </w:p>
    <w:p>
      <w:pPr>
        <w:jc w:val="right"/>
        <w:rPr>
          <w:rFonts w:hint="eastAsia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5ZjkxNTU5OTQ5NDRhNTJhM2UzYzA4Y2FkNzdlN2MifQ=="/>
  </w:docVars>
  <w:rsids>
    <w:rsidRoot w:val="00B7374A"/>
    <w:rsid w:val="00272CE1"/>
    <w:rsid w:val="00280055"/>
    <w:rsid w:val="00332DA6"/>
    <w:rsid w:val="004976C5"/>
    <w:rsid w:val="005065B2"/>
    <w:rsid w:val="00702452"/>
    <w:rsid w:val="008357C5"/>
    <w:rsid w:val="008E411B"/>
    <w:rsid w:val="00B54037"/>
    <w:rsid w:val="00B7374A"/>
    <w:rsid w:val="00B913EB"/>
    <w:rsid w:val="00CF52B3"/>
    <w:rsid w:val="00D64454"/>
    <w:rsid w:val="00F62718"/>
    <w:rsid w:val="00FA09FF"/>
    <w:rsid w:val="00FC7406"/>
    <w:rsid w:val="766A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  <w:style w:type="character" w:customStyle="1" w:styleId="11">
    <w:name w:val="15"/>
    <w:basedOn w:val="8"/>
    <w:qFormat/>
    <w:uiPriority w:val="0"/>
    <w:rPr>
      <w:rFonts w:hint="default" w:ascii="Calibri" w:hAnsi="Calibri" w:cs="Calibri"/>
      <w:b/>
      <w:bCs/>
    </w:rPr>
  </w:style>
  <w:style w:type="character" w:customStyle="1" w:styleId="12">
    <w:name w:val="批注框文本 字符"/>
    <w:basedOn w:val="8"/>
    <w:link w:val="2"/>
    <w:semiHidden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568</Words>
  <Characters>3243</Characters>
  <Lines>27</Lines>
  <Paragraphs>7</Paragraphs>
  <TotalTime>0</TotalTime>
  <ScaleCrop>false</ScaleCrop>
  <LinksUpToDate>false</LinksUpToDate>
  <CharactersWithSpaces>3804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2024-01-11T05:59:00Z</dcterms:created>
  <dc:creator>AutoBVT</dc:creator>
  <cp:lastModifiedBy>好名字可以让你的朋友更容易记住你</cp:lastModifiedBy>
  <cp:lastPrinted>2024-01-18T02:02:00Z</cp:lastPrinted>
  <dcterms:modified xsi:type="dcterms:W3CDTF">2024-01-19T05:20:27Z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43D4E74FAF194997BA5A5A23DE6EA8B6_12</vt:lpwstr>
  </property>
</Properties>
</file>