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临江市民政和人力资源社会保障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部门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</w:t>
      </w:r>
      <w:r>
        <w:rPr>
          <w:rFonts w:hint="eastAsia" w:ascii="仿宋" w:hAnsi="仿宋"/>
          <w:color w:val="333333"/>
          <w:kern w:val="0"/>
          <w:lang w:val="en-US" w:eastAsia="zh-CN"/>
        </w:rPr>
        <w:t>临江市民政和人力资源社会保障</w:t>
      </w:r>
      <w:r>
        <w:rPr>
          <w:rFonts w:hint="eastAsia" w:ascii="仿宋" w:hAnsi="仿宋"/>
          <w:color w:val="333333"/>
          <w:kern w:val="0"/>
        </w:rPr>
        <w:t>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val="en-US" w:eastAsia="zh-CN"/>
        </w:rPr>
        <w:t>临江市民政和人力资源社会保障</w:t>
      </w:r>
      <w:r>
        <w:rPr>
          <w:rFonts w:hint="eastAsia" w:ascii="仿宋" w:hAnsi="仿宋"/>
          <w:color w:val="333333"/>
          <w:kern w:val="0"/>
        </w:rPr>
        <w:t>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3101323">
      <w:pPr>
        <w:widowControl/>
        <w:shd w:val="clear" w:color="auto" w:fill="FFFFFF"/>
        <w:spacing w:line="525" w:lineRule="atLeast"/>
        <w:jc w:val="both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4C3B277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088F43A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val="en-US" w:eastAsia="zh-CN"/>
        </w:rPr>
        <w:t>临江市民政和人力资源社会保障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部门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06DF474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28FF6BA0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临江市民政和人力资源社会保障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部门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 w14:paraId="289F4A6C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</w:tr>
    </w:tbl>
    <w:p w14:paraId="3A12C725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B3714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717C89B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1CAC696A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58E1BA29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D4DDF9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804D4E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A87F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30C7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BDDD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048A2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DA542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F42848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临江市民政和人力资源社会保障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部门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03E6BFA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B4FC78E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F2B4DD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704A00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临江市民政和人力资源社会保障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部门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5452464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D6DFF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53CDAA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4BA9111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1477E52C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506280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B824EA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D42A91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6802E1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F501E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1FBCD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临江市民政和人力资源社会保障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部门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61"/>
        <w:gridCol w:w="726"/>
        <w:gridCol w:w="729"/>
        <w:gridCol w:w="763"/>
        <w:gridCol w:w="745"/>
        <w:gridCol w:w="1056"/>
        <w:gridCol w:w="763"/>
        <w:gridCol w:w="727"/>
        <w:gridCol w:w="763"/>
        <w:gridCol w:w="764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983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1169.98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9134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1183</w:t>
            </w:r>
          </w:p>
        </w:tc>
      </w:tr>
    </w:tbl>
    <w:p w14:paraId="4421A50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494BA3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2B7D4D8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41BDDB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5A5BF67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564469B8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2D08208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2D804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6218D7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0DA04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DAA03F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911959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C629E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DBE438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A7A3F3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0AED74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4C908F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临江市民政和人力资源社会保障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部门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1D1AB0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69AE3C7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11万</w:t>
      </w:r>
      <w:r>
        <w:rPr>
          <w:rFonts w:hint="eastAsia" w:ascii="仿宋" w:hAnsi="仿宋"/>
          <w:color w:val="333333"/>
          <w:kern w:val="0"/>
        </w:rPr>
        <w:t>元。</w:t>
      </w:r>
    </w:p>
    <w:p w14:paraId="33E0866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68D39A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10</w:t>
      </w:r>
      <w:r>
        <w:rPr>
          <w:rFonts w:hint="eastAsia" w:ascii="仿宋" w:hAnsi="仿宋"/>
          <w:color w:val="333333"/>
          <w:kern w:val="0"/>
        </w:rPr>
        <w:t>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6AA0C2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 w14:paraId="779E45D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4C5019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6A45A5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E5268E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 w14:paraId="4D10ABD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66AAAB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ED5825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E728F9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35</w:t>
      </w:r>
      <w:r>
        <w:rPr>
          <w:rFonts w:hint="eastAsia" w:ascii="仿宋" w:hAnsi="仿宋"/>
          <w:color w:val="333333"/>
          <w:kern w:val="0"/>
        </w:rPr>
        <w:t>次。</w:t>
      </w:r>
    </w:p>
    <w:p w14:paraId="1759F68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327F14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 w14:paraId="6345F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5841CC9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 w14:paraId="3E6FFD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983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1169.98万</w:t>
      </w:r>
      <w:r>
        <w:rPr>
          <w:rFonts w:hint="eastAsia" w:ascii="仿宋" w:hAnsi="仿宋"/>
          <w:color w:val="333333"/>
          <w:kern w:val="0"/>
        </w:rPr>
        <w:t>元。</w:t>
      </w:r>
    </w:p>
    <w:p w14:paraId="5B1FEF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A44AFB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B8966A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 w14:paraId="7027A93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9134</w:t>
      </w:r>
      <w:r>
        <w:rPr>
          <w:rFonts w:hint="eastAsia" w:ascii="仿宋" w:hAnsi="仿宋"/>
          <w:color w:val="333333"/>
          <w:kern w:val="0"/>
        </w:rPr>
        <w:t>次。</w:t>
      </w:r>
    </w:p>
    <w:p w14:paraId="6EC520D5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5C53CA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1AF312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 w14:paraId="79FC580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6D17F05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5AF3C9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C8A569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 w14:paraId="0BCC971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1183</w:t>
      </w:r>
      <w:r>
        <w:rPr>
          <w:rFonts w:hint="eastAsia" w:ascii="仿宋" w:hAnsi="仿宋"/>
          <w:color w:val="333333"/>
          <w:kern w:val="0"/>
        </w:rPr>
        <w:t>宗。</w:t>
      </w:r>
    </w:p>
    <w:p w14:paraId="4C30F3F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1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0.084531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1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F11928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3F2A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 w14:paraId="27B28328">
      <w:pPr>
        <w:rPr>
          <w:rFonts w:hint="eastAsia"/>
        </w:rPr>
      </w:pPr>
      <w:r>
        <w:rPr>
          <w:rFonts w:hint="eastAsia" w:ascii="仿宋" w:hAnsi="仿宋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0906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020D52B7"/>
    <w:rsid w:val="0776276A"/>
    <w:rsid w:val="0BF037EA"/>
    <w:rsid w:val="0FB56209"/>
    <w:rsid w:val="1E44572A"/>
    <w:rsid w:val="1E997503"/>
    <w:rsid w:val="25D02FFD"/>
    <w:rsid w:val="28A30382"/>
    <w:rsid w:val="2BE86515"/>
    <w:rsid w:val="2CF452BA"/>
    <w:rsid w:val="2E5541C4"/>
    <w:rsid w:val="2FD3745A"/>
    <w:rsid w:val="3ECB79D6"/>
    <w:rsid w:val="3FE83BA9"/>
    <w:rsid w:val="416850A4"/>
    <w:rsid w:val="419175F9"/>
    <w:rsid w:val="4BC20786"/>
    <w:rsid w:val="50A05B3E"/>
    <w:rsid w:val="5D995C7C"/>
    <w:rsid w:val="72422A05"/>
    <w:rsid w:val="72BC63B0"/>
    <w:rsid w:val="765E5E26"/>
    <w:rsid w:val="784C5638"/>
    <w:rsid w:val="7CB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4390</Words>
  <Characters>4648</Characters>
  <Lines>40</Lines>
  <Paragraphs>11</Paragraphs>
  <TotalTime>307</TotalTime>
  <ScaleCrop>false</ScaleCrop>
  <LinksUpToDate>false</LinksUpToDate>
  <CharactersWithSpaces>4701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自渡</cp:lastModifiedBy>
  <cp:lastPrinted>2021-08-05T02:44:00Z</cp:lastPrinted>
  <dcterms:modified xsi:type="dcterms:W3CDTF">2025-02-11T02:35:35Z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69A9D2D81E2448CDBB24132BAEEB06DB_13</vt:lpwstr>
  </property>
  <property fmtid="{D5CDD505-2E9C-101B-9397-08002B2CF9AE}" pid="4" name="KSOTemplateDocerSaveRecord">
    <vt:lpwstr>eyJoZGlkIjoiNDc0YTk0YWQyODg3YzdiMjg1YWQxOGFiNDNjNmVmMTgiLCJ1c2VySWQiOiIxMjI0NDYwMTE0In0=</vt:lpwstr>
  </property>
</Properties>
</file>