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058F8">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114B6A40">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70497F7">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34</w:t>
      </w:r>
      <w:r>
        <w:rPr>
          <w:rFonts w:hint="eastAsia" w:ascii="仿宋" w:hAnsi="仿宋" w:eastAsia="仿宋" w:cs="仿宋"/>
          <w:color w:val="000000"/>
          <w:sz w:val="32"/>
          <w:szCs w:val="32"/>
          <w:u w:val="none"/>
        </w:rPr>
        <w:t>号</w:t>
      </w:r>
      <w:bookmarkEnd w:id="0"/>
    </w:p>
    <w:p w14:paraId="54D8A1D5">
      <w:pPr>
        <w:spacing w:line="560" w:lineRule="exact"/>
        <w:rPr>
          <w:rFonts w:hint="eastAsia" w:ascii="仿宋" w:hAnsi="仿宋" w:eastAsia="仿宋" w:cs="仿宋"/>
          <w:kern w:val="1"/>
          <w:sz w:val="32"/>
          <w:szCs w:val="32"/>
          <w:u w:val="none"/>
        </w:rPr>
      </w:pPr>
    </w:p>
    <w:p w14:paraId="2B6D512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文兴商店</w:t>
      </w:r>
      <w:r>
        <w:rPr>
          <w:rFonts w:hint="eastAsia" w:ascii="仿宋" w:hAnsi="仿宋" w:eastAsia="仿宋" w:cs="仿宋"/>
          <w:bCs/>
          <w:color w:val="000000"/>
          <w:sz w:val="32"/>
          <w:szCs w:val="32"/>
        </w:rPr>
        <w:t xml:space="preserve">       </w:t>
      </w:r>
    </w:p>
    <w:p w14:paraId="4FCFFAA7">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55CCD53F">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
          <w:kern w:val="1"/>
          <w:sz w:val="32"/>
          <w:szCs w:val="32"/>
          <w:u w:val="none"/>
        </w:rPr>
        <w:t>92220681MA</w:t>
      </w:r>
      <w:r>
        <w:rPr>
          <w:rFonts w:hint="eastAsia" w:ascii="仿宋" w:hAnsi="仿宋" w:eastAsia="仿宋" w:cs="仿宋"/>
          <w:kern w:val="1"/>
          <w:sz w:val="32"/>
          <w:szCs w:val="32"/>
          <w:u w:val="none"/>
          <w:lang w:val="en-US" w:eastAsia="zh-CN"/>
        </w:rPr>
        <w:t>1696Q051</w:t>
      </w:r>
      <w:r>
        <w:rPr>
          <w:rFonts w:hint="eastAsia" w:ascii="仿宋" w:hAnsi="仿宋" w:eastAsia="仿宋" w:cs="Mongolian Baiti"/>
          <w:kern w:val="1"/>
          <w:sz w:val="32"/>
          <w:szCs w:val="32"/>
          <w:u w:val="none"/>
        </w:rPr>
        <w:t xml:space="preserve">   </w:t>
      </w:r>
      <w:r>
        <w:rPr>
          <w:rFonts w:hint="eastAsia" w:ascii="仿宋" w:hAnsi="仿宋" w:eastAsia="仿宋" w:cs="仿宋"/>
          <w:bCs/>
          <w:color w:val="000000"/>
          <w:sz w:val="32"/>
          <w:szCs w:val="32"/>
        </w:rPr>
        <w:t xml:space="preserve">                              </w:t>
      </w:r>
    </w:p>
    <w:p w14:paraId="0FDEC81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仿宋"/>
          <w:bCs/>
          <w:color w:val="000000"/>
          <w:sz w:val="30"/>
          <w:szCs w:val="30"/>
          <w:lang w:val="en-US" w:eastAsia="zh-CN"/>
        </w:rPr>
        <w:t>临江市鸭绿江花园12号楼1楼8号门市</w:t>
      </w:r>
      <w:r>
        <w:rPr>
          <w:rFonts w:hint="eastAsia" w:ascii="仿宋" w:hAnsi="仿宋" w:eastAsia="仿宋" w:cs="仿宋"/>
          <w:bCs/>
          <w:color w:val="000000"/>
          <w:sz w:val="32"/>
          <w:szCs w:val="32"/>
        </w:rPr>
        <w:t xml:space="preserve">                                     </w:t>
      </w:r>
    </w:p>
    <w:p w14:paraId="5922DAE9">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kern w:val="1"/>
          <w:sz w:val="32"/>
          <w:szCs w:val="32"/>
          <w:u w:val="none"/>
          <w:lang w:val="en-US" w:eastAsia="zh-CN"/>
        </w:rPr>
        <w:t>高华军</w:t>
      </w:r>
      <w:r>
        <w:rPr>
          <w:rFonts w:hint="eastAsia" w:ascii="仿宋" w:hAnsi="仿宋" w:eastAsia="仿宋" w:cs="仿宋"/>
          <w:bCs/>
          <w:color w:val="000000"/>
          <w:sz w:val="32"/>
          <w:szCs w:val="32"/>
        </w:rPr>
        <w:t xml:space="preserve">                            </w:t>
      </w:r>
    </w:p>
    <w:p w14:paraId="7DFC804D">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sz w:val="30"/>
          <w:szCs w:val="30"/>
          <w:u w:val="none" w:color="auto"/>
          <w:lang w:val="en-US" w:eastAsia="zh-CN"/>
        </w:rPr>
      </w:pPr>
    </w:p>
    <w:p w14:paraId="15E5C5A4">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bCs/>
          <w:color w:val="000000"/>
          <w:sz w:val="32"/>
          <w:szCs w:val="32"/>
        </w:rPr>
      </w:pPr>
      <w:r>
        <w:rPr>
          <w:rFonts w:hint="eastAsia" w:ascii="仿宋" w:hAnsi="仿宋" w:eastAsia="仿宋" w:cs="仿宋"/>
          <w:sz w:val="30"/>
          <w:szCs w:val="30"/>
          <w:u w:val="none" w:color="auto"/>
          <w:lang w:val="en-US" w:eastAsia="zh-CN"/>
        </w:rPr>
        <w:t>2024年12月9日，临江市市场监督管理局新市综合分局接到群众投诉，称在</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文兴商店</w:t>
      </w:r>
      <w:r>
        <w:rPr>
          <w:rFonts w:hint="eastAsia" w:ascii="仿宋" w:hAnsi="仿宋" w:eastAsia="仿宋" w:cs="仿宋"/>
          <w:sz w:val="30"/>
          <w:szCs w:val="30"/>
          <w:u w:val="none" w:color="auto"/>
          <w:lang w:val="en-US" w:eastAsia="zh-CN"/>
        </w:rPr>
        <w:t>购买的</w:t>
      </w:r>
      <w:r>
        <w:rPr>
          <w:rFonts w:hint="eastAsia" w:ascii="仿宋" w:hAnsi="仿宋" w:eastAsia="仿宋" w:cs="仿宋"/>
          <w:sz w:val="32"/>
          <w:szCs w:val="32"/>
          <w:vertAlign w:val="baseline"/>
          <w:lang w:val="en-US" w:eastAsia="zh-CN"/>
        </w:rPr>
        <w:t>天耀香辣虾</w:t>
      </w:r>
      <w:r>
        <w:rPr>
          <w:rFonts w:hint="eastAsia" w:ascii="仿宋" w:hAnsi="仿宋" w:eastAsia="仿宋" w:cs="仿宋"/>
          <w:sz w:val="30"/>
          <w:szCs w:val="30"/>
          <w:u w:val="none" w:color="auto"/>
          <w:lang w:val="en-US" w:eastAsia="zh-CN"/>
        </w:rPr>
        <w:t>已过保质期。12月10日我局执法人员对该超市进行了现场检查。经核查，</w:t>
      </w:r>
      <w:r>
        <w:rPr>
          <w:rFonts w:hint="eastAsia" w:ascii="仿宋" w:hAnsi="仿宋" w:eastAsia="仿宋" w:cs="仿宋"/>
          <w:kern w:val="1"/>
          <w:sz w:val="32"/>
          <w:szCs w:val="32"/>
          <w:u w:val="none"/>
          <w:lang w:val="en-US" w:eastAsia="zh-CN"/>
        </w:rPr>
        <w:t>文兴商店</w:t>
      </w:r>
      <w:r>
        <w:rPr>
          <w:rFonts w:hint="eastAsia" w:ascii="仿宋" w:hAnsi="仿宋" w:eastAsia="仿宋" w:cs="仿宋"/>
          <w:sz w:val="30"/>
          <w:szCs w:val="30"/>
          <w:u w:val="none" w:color="auto"/>
          <w:lang w:val="en-US" w:eastAsia="zh-CN"/>
        </w:rPr>
        <w:t>销售的</w:t>
      </w:r>
      <w:r>
        <w:rPr>
          <w:rFonts w:hint="eastAsia" w:ascii="仿宋" w:hAnsi="仿宋" w:eastAsia="仿宋" w:cs="仿宋"/>
          <w:sz w:val="32"/>
          <w:szCs w:val="32"/>
          <w:vertAlign w:val="baseline"/>
          <w:lang w:val="en-US" w:eastAsia="zh-CN"/>
        </w:rPr>
        <w:t>天耀香辣虾</w:t>
      </w:r>
      <w:r>
        <w:rPr>
          <w:rFonts w:hint="eastAsia" w:ascii="仿宋" w:hAnsi="仿宋" w:eastAsia="仿宋" w:cs="仿宋"/>
          <w:sz w:val="30"/>
          <w:szCs w:val="30"/>
          <w:u w:val="none" w:color="auto"/>
          <w:lang w:val="en-US" w:eastAsia="zh-CN"/>
        </w:rPr>
        <w:t>已过保质期情况属实。</w:t>
      </w:r>
      <w:r>
        <w:rPr>
          <w:rFonts w:hint="eastAsia" w:ascii="仿宋" w:hAnsi="仿宋" w:eastAsia="仿宋" w:cs="仿宋"/>
          <w:bCs/>
          <w:color w:val="000000"/>
          <w:sz w:val="32"/>
          <w:szCs w:val="32"/>
        </w:rPr>
        <w:t>我局于</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日立案，由执法人员开展调查。</w:t>
      </w:r>
    </w:p>
    <w:p w14:paraId="1883A61B">
      <w:pPr>
        <w:spacing w:line="520" w:lineRule="exact"/>
        <w:ind w:firstLine="600" w:firstLineChars="200"/>
        <w:rPr>
          <w:rFonts w:hint="eastAsia" w:ascii="仿宋" w:hAnsi="仿宋" w:eastAsia="仿宋" w:cs="仿宋"/>
          <w:sz w:val="30"/>
          <w:szCs w:val="30"/>
          <w:u w:val="none" w:color="auto"/>
        </w:rPr>
      </w:pPr>
      <w:r>
        <w:rPr>
          <w:rFonts w:hint="eastAsia" w:ascii="仿宋" w:hAnsi="仿宋" w:eastAsia="仿宋" w:cs="仿宋"/>
          <w:sz w:val="30"/>
          <w:szCs w:val="30"/>
          <w:u w:val="none" w:color="auto"/>
        </w:rPr>
        <w:t>经查，</w:t>
      </w:r>
      <w:r>
        <w:rPr>
          <w:rFonts w:hint="eastAsia" w:ascii="仿宋" w:hAnsi="仿宋" w:eastAsia="仿宋" w:cs="仿宋"/>
          <w:sz w:val="30"/>
          <w:szCs w:val="30"/>
          <w:u w:val="none" w:color="auto"/>
          <w:lang w:val="en-US" w:eastAsia="zh-CN"/>
        </w:rPr>
        <w:t>临江市</w:t>
      </w:r>
      <w:r>
        <w:rPr>
          <w:rFonts w:hint="eastAsia" w:ascii="仿宋" w:hAnsi="仿宋" w:eastAsia="仿宋" w:cs="仿宋"/>
          <w:kern w:val="1"/>
          <w:sz w:val="32"/>
          <w:szCs w:val="32"/>
          <w:u w:val="none"/>
          <w:lang w:val="en-US" w:eastAsia="zh-CN"/>
        </w:rPr>
        <w:t>文兴商店</w:t>
      </w:r>
      <w:r>
        <w:rPr>
          <w:rFonts w:hint="eastAsia" w:ascii="仿宋" w:hAnsi="仿宋" w:eastAsia="仿宋" w:cs="仿宋"/>
          <w:sz w:val="30"/>
          <w:szCs w:val="30"/>
          <w:u w:val="none" w:color="auto"/>
        </w:rPr>
        <w:t>于</w:t>
      </w:r>
      <w:r>
        <w:rPr>
          <w:rFonts w:hint="eastAsia" w:ascii="仿宋" w:hAnsi="仿宋" w:eastAsia="仿宋" w:cs="仿宋"/>
          <w:bCs/>
          <w:color w:val="auto"/>
          <w:sz w:val="30"/>
          <w:szCs w:val="30"/>
          <w:lang w:val="en-US" w:eastAsia="zh-CN"/>
        </w:rPr>
        <w:t>2024年3月29日在临江市智成综合商店购进</w:t>
      </w:r>
      <w:r>
        <w:rPr>
          <w:rFonts w:hint="eastAsia" w:ascii="仿宋" w:hAnsi="仿宋" w:eastAsia="仿宋" w:cs="仿宋"/>
          <w:sz w:val="32"/>
          <w:szCs w:val="32"/>
          <w:vertAlign w:val="baseline"/>
          <w:lang w:val="en-US" w:eastAsia="zh-CN"/>
        </w:rPr>
        <w:t>天耀香辣虾</w:t>
      </w:r>
      <w:r>
        <w:rPr>
          <w:rFonts w:hint="eastAsia" w:ascii="仿宋" w:hAnsi="仿宋" w:eastAsia="仿宋" w:cs="仿宋"/>
          <w:sz w:val="32"/>
          <w:szCs w:val="32"/>
          <w:u w:val="none"/>
          <w:lang w:val="en-US" w:eastAsia="zh-CN"/>
        </w:rPr>
        <w:t>一包。生产日期为2024年2月1日，保质期为9个月，由于这包天耀香辣虾进货回来就压在其他货品下面，在清理过期食品时因疏忽大意未及时发现已过保质期，于12月7日被投诉人购买。</w:t>
      </w:r>
      <w:r>
        <w:rPr>
          <w:rFonts w:hint="eastAsia" w:ascii="仿宋" w:hAnsi="仿宋" w:eastAsia="仿宋" w:cs="仿宋"/>
          <w:sz w:val="30"/>
          <w:szCs w:val="30"/>
          <w:u w:val="none" w:color="auto"/>
        </w:rPr>
        <w:t>进货过程中，当事人履行了进货查验制度，依规查验了供货商的营业执照、食品经营许可证</w:t>
      </w:r>
      <w:r>
        <w:rPr>
          <w:rFonts w:hint="eastAsia" w:ascii="仿宋" w:hAnsi="仿宋" w:eastAsia="仿宋" w:cs="仿宋"/>
          <w:sz w:val="30"/>
          <w:szCs w:val="30"/>
          <w:u w:val="none" w:color="auto"/>
          <w:lang w:val="en-US" w:eastAsia="zh-CN"/>
        </w:rPr>
        <w:t>及出厂检验报告</w:t>
      </w:r>
      <w:r>
        <w:rPr>
          <w:rFonts w:hint="eastAsia" w:ascii="仿宋" w:hAnsi="仿宋" w:eastAsia="仿宋" w:cs="仿宋"/>
          <w:sz w:val="30"/>
          <w:szCs w:val="30"/>
          <w:u w:val="none" w:color="auto"/>
        </w:rPr>
        <w:t>等相关材料。</w:t>
      </w:r>
    </w:p>
    <w:p w14:paraId="30D631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161254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6989F4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《询问笔录》一份，证明当事人经营销售过保质期</w:t>
      </w:r>
      <w:r>
        <w:rPr>
          <w:rFonts w:hint="eastAsia" w:ascii="仿宋" w:hAnsi="仿宋" w:eastAsia="仿宋" w:cs="仿宋"/>
          <w:sz w:val="32"/>
          <w:szCs w:val="32"/>
          <w:vertAlign w:val="baseline"/>
          <w:lang w:val="en-US" w:eastAsia="zh-CN"/>
        </w:rPr>
        <w:t>天耀香辣虾</w:t>
      </w:r>
      <w:r>
        <w:rPr>
          <w:rFonts w:hint="eastAsia" w:ascii="仿宋" w:hAnsi="仿宋" w:eastAsia="仿宋" w:cs="仿宋"/>
          <w:bCs/>
          <w:color w:val="000000"/>
          <w:sz w:val="32"/>
          <w:szCs w:val="32"/>
        </w:rPr>
        <w:t>的事实；</w:t>
      </w:r>
    </w:p>
    <w:p w14:paraId="1FFEF6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食品经营许可证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复印件</w:t>
      </w:r>
      <w:r>
        <w:rPr>
          <w:rFonts w:hint="eastAsia" w:ascii="仿宋" w:hAnsi="仿宋" w:eastAsia="仿宋" w:cs="仿宋"/>
          <w:bCs/>
          <w:color w:val="000000"/>
          <w:sz w:val="32"/>
          <w:szCs w:val="32"/>
          <w:lang w:val="en-US" w:eastAsia="zh-CN"/>
        </w:rPr>
        <w:t>各</w:t>
      </w:r>
      <w:r>
        <w:rPr>
          <w:rFonts w:hint="eastAsia" w:ascii="仿宋" w:hAnsi="仿宋" w:eastAsia="仿宋" w:cs="仿宋"/>
          <w:bCs/>
          <w:color w:val="000000"/>
          <w:sz w:val="32"/>
          <w:szCs w:val="32"/>
        </w:rPr>
        <w:t>一份，证明当事人主体资格情况；</w:t>
      </w:r>
    </w:p>
    <w:p w14:paraId="6ECF35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kern w:val="1"/>
          <w:sz w:val="32"/>
          <w:szCs w:val="32"/>
          <w:u w:val="none"/>
          <w:lang w:val="en-US" w:eastAsia="zh-CN"/>
        </w:rPr>
        <w:t>高华军</w:t>
      </w:r>
      <w:r>
        <w:rPr>
          <w:rFonts w:hint="eastAsia" w:ascii="仿宋" w:hAnsi="仿宋" w:eastAsia="仿宋" w:cs="仿宋"/>
          <w:bCs/>
          <w:color w:val="000000"/>
          <w:sz w:val="32"/>
          <w:szCs w:val="32"/>
        </w:rPr>
        <w:t>身份证复印件一份，证明负责人基本情况；</w:t>
      </w:r>
    </w:p>
    <w:p w14:paraId="7EA701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进货票据一份，证明当事人购进该批次产品的数量、价格等情况；</w:t>
      </w:r>
    </w:p>
    <w:p w14:paraId="7BA631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供货商营业执照复印件一份，证明供货商主体资格及资质。</w:t>
      </w:r>
    </w:p>
    <w:p w14:paraId="1CEEF1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w:t>
      </w:r>
      <w:r>
        <w:rPr>
          <w:rFonts w:hint="eastAsia" w:ascii="仿宋" w:hAnsi="仿宋" w:eastAsia="仿宋" w:cs="仿宋"/>
          <w:sz w:val="32"/>
          <w:szCs w:val="32"/>
          <w:vertAlign w:val="baseline"/>
          <w:lang w:val="en-US" w:eastAsia="zh-CN"/>
        </w:rPr>
        <w:t>天耀香辣虾</w:t>
      </w:r>
      <w:r>
        <w:rPr>
          <w:rFonts w:hint="eastAsia" w:ascii="仿宋" w:hAnsi="仿宋" w:eastAsia="仿宋" w:cs="仿宋"/>
          <w:bCs/>
          <w:color w:val="000000"/>
          <w:sz w:val="32"/>
          <w:szCs w:val="32"/>
          <w:lang w:val="en-US" w:eastAsia="zh-CN"/>
        </w:rPr>
        <w:t>出厂检验报告一份，证明产品出厂检验情况。</w:t>
      </w:r>
    </w:p>
    <w:p w14:paraId="11C352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现场检查照片一份，证明现场经营情况属实。</w:t>
      </w:r>
    </w:p>
    <w:p w14:paraId="1861B3C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吉林市场监管投诉举报单，证明消费者投诉</w:t>
      </w:r>
      <w:r>
        <w:rPr>
          <w:rFonts w:hint="eastAsia" w:ascii="仿宋" w:hAnsi="仿宋" w:eastAsia="仿宋" w:cs="仿宋_GB2312"/>
          <w:bCs/>
          <w:sz w:val="32"/>
          <w:szCs w:val="32"/>
          <w:u w:val="none"/>
        </w:rPr>
        <w:t>临江市</w:t>
      </w:r>
      <w:r>
        <w:rPr>
          <w:rFonts w:hint="eastAsia" w:ascii="仿宋" w:hAnsi="仿宋" w:eastAsia="仿宋" w:cs="仿宋_GB2312"/>
          <w:bCs/>
          <w:sz w:val="32"/>
          <w:szCs w:val="32"/>
          <w:u w:val="none"/>
          <w:lang w:val="en-US" w:eastAsia="zh-CN"/>
        </w:rPr>
        <w:t>文兴商店相关</w:t>
      </w:r>
      <w:r>
        <w:rPr>
          <w:rFonts w:hint="eastAsia" w:ascii="仿宋" w:hAnsi="仿宋" w:eastAsia="仿宋" w:cs="仿宋"/>
          <w:bCs/>
          <w:color w:val="000000"/>
          <w:sz w:val="32"/>
          <w:szCs w:val="32"/>
          <w:u w:val="none"/>
          <w:lang w:val="en-US" w:eastAsia="zh-CN"/>
        </w:rPr>
        <w:t>情况。</w:t>
      </w:r>
    </w:p>
    <w:p w14:paraId="4B8F4E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10.商品照片3张，证明已过保质期情况属实。</w:t>
      </w:r>
    </w:p>
    <w:p w14:paraId="3510D3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11.整改报告一份，证明</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文兴商店</w:t>
      </w:r>
      <w:r>
        <w:rPr>
          <w:rFonts w:hint="eastAsia" w:ascii="仿宋" w:hAnsi="仿宋" w:eastAsia="仿宋" w:cs="仿宋"/>
          <w:bCs/>
          <w:color w:val="000000"/>
          <w:sz w:val="32"/>
          <w:szCs w:val="32"/>
          <w:u w:val="none"/>
          <w:lang w:val="en-US" w:eastAsia="zh-CN"/>
        </w:rPr>
        <w:t>整改情况。</w:t>
      </w:r>
    </w:p>
    <w:p w14:paraId="1A06BC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auto"/>
          <w:sz w:val="32"/>
          <w:szCs w:val="32"/>
          <w:lang w:val="en-US" w:eastAsia="zh-CN"/>
        </w:rPr>
        <w:t>12月31日</w:t>
      </w:r>
      <w:r>
        <w:rPr>
          <w:rFonts w:hint="eastAsia" w:ascii="仿宋" w:hAnsi="仿宋" w:eastAsia="仿宋" w:cs="仿宋"/>
          <w:bCs/>
          <w:color w:val="000000"/>
          <w:sz w:val="32"/>
          <w:szCs w:val="32"/>
        </w:rPr>
        <w:t>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34</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399310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当事人上述行为违反了《中华人民共和国食品安全法》第三十四条第一款第（十）项规定：禁止生产经营下列食品、食品添加剂、食品相关产品：“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标注虚假生产日期、保质期或者超过保质期的食品、食品添加剂；”的规定。</w:t>
      </w:r>
    </w:p>
    <w:p w14:paraId="7060A7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eastAsia="zh-CN"/>
        </w:rPr>
        <w:t>系初次违法，违法情节轻微，</w:t>
      </w:r>
      <w:r>
        <w:rPr>
          <w:rFonts w:hint="eastAsia" w:ascii="仿宋" w:hAnsi="仿宋" w:eastAsia="仿宋" w:cs="仿宋"/>
          <w:bCs/>
          <w:color w:val="000000"/>
          <w:sz w:val="32"/>
          <w:szCs w:val="32"/>
        </w:rPr>
        <w:t>充分履行了进货查验制度，在本局调查取证过程中能积极配合调查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且未造成严重危害后果</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0"/>
          <w:szCs w:val="30"/>
          <w:lang w:eastAsia="zh-CN"/>
        </w:rPr>
        <w:t>当事人并非主观</w:t>
      </w:r>
      <w:r>
        <w:rPr>
          <w:rFonts w:hint="eastAsia" w:ascii="仿宋" w:hAnsi="仿宋" w:eastAsia="仿宋" w:cs="仿宋"/>
          <w:bCs/>
          <w:color w:val="000000"/>
          <w:sz w:val="30"/>
          <w:szCs w:val="30"/>
        </w:rPr>
        <w:t>故意销售过期食品</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2"/>
          <w:szCs w:val="32"/>
          <w:lang w:eastAsia="zh-CN"/>
        </w:rPr>
        <w:t>主动</w:t>
      </w:r>
      <w:r>
        <w:rPr>
          <w:rFonts w:hint="eastAsia" w:ascii="仿宋" w:hAnsi="仿宋" w:eastAsia="仿宋" w:cs="仿宋"/>
          <w:bCs/>
          <w:color w:val="000000"/>
          <w:sz w:val="30"/>
          <w:szCs w:val="30"/>
          <w:lang w:eastAsia="zh-CN"/>
        </w:rPr>
        <w:t>对店内其他在售食品进行查验，未发现有其他过期食品在售情况。</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000000"/>
          <w:sz w:val="32"/>
          <w:szCs w:val="32"/>
          <w:lang w:eastAsia="zh-CN"/>
        </w:rPr>
        <w:t>。</w:t>
      </w:r>
    </w:p>
    <w:p w14:paraId="106A46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综上，当事人上述行为违反了《中华人民共和国食品安全法》第三十四条第一款第（十）项规定，依据《中华人民共和国行政处罚法》第三十三条规定，结合本案实际，经本局研究决定，对</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文兴商店</w:t>
      </w:r>
      <w:r>
        <w:rPr>
          <w:rFonts w:hint="eastAsia" w:ascii="仿宋" w:hAnsi="仿宋" w:eastAsia="仿宋" w:cs="仿宋"/>
          <w:kern w:val="1"/>
          <w:sz w:val="32"/>
          <w:szCs w:val="32"/>
          <w:u w:val="none"/>
        </w:rPr>
        <w:t>（经营者：</w:t>
      </w:r>
      <w:r>
        <w:rPr>
          <w:rFonts w:hint="eastAsia" w:ascii="仿宋" w:hAnsi="仿宋" w:eastAsia="仿宋" w:cs="仿宋"/>
          <w:kern w:val="1"/>
          <w:sz w:val="32"/>
          <w:szCs w:val="32"/>
          <w:u w:val="none"/>
          <w:lang w:val="en-US" w:eastAsia="zh-CN"/>
        </w:rPr>
        <w:t>高华军</w:t>
      </w:r>
      <w:r>
        <w:rPr>
          <w:rFonts w:hint="eastAsia" w:ascii="仿宋" w:hAnsi="仿宋" w:eastAsia="仿宋" w:cs="仿宋"/>
          <w:kern w:val="1"/>
          <w:sz w:val="32"/>
          <w:szCs w:val="32"/>
          <w:u w:val="none"/>
        </w:rPr>
        <w:t>）</w:t>
      </w:r>
      <w:r>
        <w:rPr>
          <w:rFonts w:hint="eastAsia" w:ascii="仿宋" w:hAnsi="仿宋" w:eastAsia="仿宋" w:cs="仿宋"/>
          <w:bCs/>
          <w:color w:val="000000"/>
          <w:sz w:val="32"/>
          <w:szCs w:val="32"/>
        </w:rPr>
        <w:t>不予行政处罚，并进行教育，具体内容如下：</w:t>
      </w:r>
    </w:p>
    <w:p w14:paraId="5EDAC6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1. </w:t>
      </w:r>
      <w:r>
        <w:rPr>
          <w:rFonts w:hint="eastAsia" w:ascii="仿宋" w:hAnsi="仿宋" w:eastAsia="仿宋" w:cs="仿宋"/>
          <w:bCs/>
          <w:color w:val="000000"/>
          <w:sz w:val="32"/>
          <w:szCs w:val="32"/>
          <w:lang w:val="en-US" w:eastAsia="zh-CN"/>
        </w:rPr>
        <w:t>要加强商品定期查验制度，及时清理变质或者过保质期的商品</w:t>
      </w:r>
      <w:r>
        <w:rPr>
          <w:rFonts w:hint="eastAsia" w:ascii="仿宋" w:hAnsi="仿宋" w:eastAsia="仿宋" w:cs="仿宋"/>
          <w:bCs/>
          <w:color w:val="000000"/>
          <w:sz w:val="32"/>
          <w:szCs w:val="32"/>
        </w:rPr>
        <w:t>。</w:t>
      </w:r>
    </w:p>
    <w:p w14:paraId="70B8A2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2.加强《中华人民共和国食品安全法》的学习，依法开展经营活动。</w:t>
      </w:r>
    </w:p>
    <w:p w14:paraId="3A1000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5BACED11">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 w:hAnsi="仿宋" w:eastAsia="仿宋" w:cs="仿宋"/>
          <w:bCs/>
          <w:color w:val="000000"/>
          <w:sz w:val="32"/>
          <w:szCs w:val="32"/>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44552A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1A88C546">
      <w:pPr>
        <w:spacing w:line="520" w:lineRule="exact"/>
        <w:ind w:firstLine="4640" w:firstLineChars="1450"/>
        <w:jc w:val="left"/>
        <w:rPr>
          <w:rFonts w:hint="eastAsia" w:ascii="仿宋" w:hAnsi="仿宋" w:eastAsia="仿宋" w:cs="仿宋"/>
          <w:bCs/>
          <w:color w:val="000000"/>
          <w:sz w:val="32"/>
          <w:szCs w:val="32"/>
        </w:rPr>
      </w:pPr>
    </w:p>
    <w:p w14:paraId="2856A9AA">
      <w:pPr>
        <w:spacing w:line="520" w:lineRule="exact"/>
        <w:jc w:val="left"/>
        <w:rPr>
          <w:rFonts w:hint="eastAsia" w:ascii="仿宋" w:hAnsi="仿宋" w:eastAsia="仿宋" w:cs="仿宋"/>
          <w:bCs/>
          <w:color w:val="000000"/>
          <w:sz w:val="32"/>
          <w:szCs w:val="32"/>
        </w:rPr>
      </w:pPr>
    </w:p>
    <w:p w14:paraId="48102993">
      <w:pPr>
        <w:spacing w:line="520" w:lineRule="exact"/>
        <w:jc w:val="left"/>
        <w:rPr>
          <w:rFonts w:hint="eastAsia" w:ascii="仿宋" w:hAnsi="仿宋" w:eastAsia="仿宋" w:cs="仿宋"/>
          <w:bCs/>
          <w:color w:val="000000"/>
          <w:sz w:val="32"/>
          <w:szCs w:val="32"/>
        </w:rPr>
      </w:pPr>
    </w:p>
    <w:p w14:paraId="1ADA0F07">
      <w:pPr>
        <w:spacing w:line="520" w:lineRule="exact"/>
        <w:jc w:val="left"/>
        <w:rPr>
          <w:rFonts w:hint="eastAsia" w:ascii="仿宋" w:hAnsi="仿宋" w:eastAsia="仿宋" w:cs="仿宋"/>
          <w:bCs/>
          <w:color w:val="000000"/>
          <w:sz w:val="32"/>
          <w:szCs w:val="32"/>
        </w:rPr>
      </w:pPr>
    </w:p>
    <w:p w14:paraId="3D391641">
      <w:pPr>
        <w:spacing w:line="520" w:lineRule="exact"/>
        <w:jc w:val="left"/>
        <w:rPr>
          <w:rFonts w:hint="eastAsia" w:ascii="仿宋" w:hAnsi="仿宋" w:eastAsia="仿宋" w:cs="仿宋"/>
          <w:bCs/>
          <w:color w:val="000000"/>
          <w:sz w:val="32"/>
          <w:szCs w:val="32"/>
        </w:rPr>
      </w:pPr>
    </w:p>
    <w:p w14:paraId="0F41CD08">
      <w:pPr>
        <w:spacing w:line="520" w:lineRule="exact"/>
        <w:jc w:val="left"/>
        <w:rPr>
          <w:rFonts w:hint="eastAsia" w:ascii="仿宋" w:hAnsi="仿宋" w:eastAsia="仿宋" w:cs="仿宋"/>
          <w:bCs/>
          <w:color w:val="000000"/>
          <w:sz w:val="32"/>
          <w:szCs w:val="32"/>
        </w:rPr>
      </w:pPr>
    </w:p>
    <w:p w14:paraId="396732EC">
      <w:pPr>
        <w:spacing w:line="520" w:lineRule="exact"/>
        <w:jc w:val="left"/>
        <w:rPr>
          <w:rFonts w:hint="eastAsia" w:ascii="仿宋" w:hAnsi="仿宋" w:eastAsia="仿宋" w:cs="仿宋"/>
          <w:bCs/>
          <w:color w:val="000000"/>
          <w:sz w:val="32"/>
          <w:szCs w:val="32"/>
        </w:rPr>
      </w:pPr>
    </w:p>
    <w:p w14:paraId="5E3A365A">
      <w:pPr>
        <w:spacing w:line="520" w:lineRule="exact"/>
        <w:jc w:val="left"/>
        <w:rPr>
          <w:rFonts w:hint="eastAsia" w:ascii="仿宋" w:hAnsi="仿宋" w:eastAsia="仿宋" w:cs="仿宋"/>
          <w:bCs/>
          <w:color w:val="000000"/>
          <w:sz w:val="32"/>
          <w:szCs w:val="32"/>
        </w:rPr>
      </w:pPr>
    </w:p>
    <w:p w14:paraId="5C1EAD7D">
      <w:pPr>
        <w:spacing w:line="520" w:lineRule="exact"/>
        <w:jc w:val="left"/>
        <w:rPr>
          <w:rFonts w:hint="eastAsia" w:ascii="仿宋" w:hAnsi="仿宋" w:eastAsia="仿宋" w:cs="仿宋"/>
          <w:bCs/>
          <w:color w:val="000000"/>
          <w:sz w:val="32"/>
          <w:szCs w:val="32"/>
        </w:rPr>
      </w:pPr>
    </w:p>
    <w:p w14:paraId="7441DA95">
      <w:pPr>
        <w:spacing w:line="520" w:lineRule="exact"/>
        <w:jc w:val="left"/>
        <w:rPr>
          <w:rFonts w:hint="eastAsia" w:ascii="仿宋" w:hAnsi="仿宋" w:eastAsia="仿宋" w:cs="仿宋"/>
          <w:bCs/>
          <w:color w:val="000000"/>
          <w:sz w:val="32"/>
          <w:szCs w:val="32"/>
        </w:rPr>
      </w:pPr>
    </w:p>
    <w:p w14:paraId="79D39E66">
      <w:pPr>
        <w:spacing w:line="520" w:lineRule="exact"/>
        <w:jc w:val="left"/>
        <w:rPr>
          <w:rFonts w:hint="eastAsia" w:ascii="仿宋" w:hAnsi="仿宋" w:eastAsia="仿宋" w:cs="仿宋"/>
          <w:bCs/>
          <w:color w:val="000000"/>
          <w:sz w:val="32"/>
          <w:szCs w:val="32"/>
        </w:rPr>
      </w:pPr>
    </w:p>
    <w:p w14:paraId="3F160E22">
      <w:pPr>
        <w:spacing w:line="520" w:lineRule="exact"/>
        <w:jc w:val="left"/>
        <w:rPr>
          <w:rFonts w:hint="eastAsia" w:ascii="仿宋" w:hAnsi="仿宋" w:eastAsia="仿宋" w:cs="仿宋"/>
          <w:bCs/>
          <w:color w:val="000000"/>
          <w:sz w:val="32"/>
          <w:szCs w:val="32"/>
        </w:rPr>
      </w:pPr>
    </w:p>
    <w:p w14:paraId="5BC1E930">
      <w:pPr>
        <w:spacing w:line="520" w:lineRule="exact"/>
        <w:ind w:firstLine="4640" w:firstLineChars="1450"/>
        <w:jc w:val="left"/>
        <w:rPr>
          <w:rFonts w:hint="eastAsia" w:ascii="仿宋" w:hAnsi="仿宋" w:eastAsia="仿宋" w:cs="仿宋"/>
          <w:bCs/>
          <w:color w:val="000000"/>
          <w:sz w:val="32"/>
          <w:szCs w:val="32"/>
        </w:rPr>
      </w:pPr>
    </w:p>
    <w:p w14:paraId="2F5157A6">
      <w:pPr>
        <w:spacing w:line="520" w:lineRule="exact"/>
        <w:jc w:val="left"/>
        <w:rPr>
          <w:rFonts w:hint="eastAsia" w:ascii="仿宋" w:hAnsi="仿宋" w:eastAsia="仿宋" w:cs="仿宋"/>
          <w:bCs/>
          <w:color w:val="000000"/>
          <w:sz w:val="32"/>
          <w:szCs w:val="32"/>
        </w:rPr>
      </w:pPr>
    </w:p>
    <w:p w14:paraId="33C78B75">
      <w:pPr>
        <w:spacing w:line="520" w:lineRule="exact"/>
        <w:jc w:val="left"/>
        <w:rPr>
          <w:rFonts w:hint="eastAsia" w:ascii="仿宋" w:hAnsi="仿宋" w:eastAsia="仿宋" w:cs="仿宋"/>
          <w:bCs/>
          <w:color w:val="000000"/>
          <w:sz w:val="32"/>
          <w:szCs w:val="32"/>
        </w:rPr>
      </w:pPr>
    </w:p>
    <w:p w14:paraId="456A6F5A">
      <w:pPr>
        <w:spacing w:line="520" w:lineRule="exact"/>
        <w:jc w:val="left"/>
        <w:rPr>
          <w:rFonts w:hint="eastAsia" w:ascii="仿宋" w:hAnsi="仿宋" w:eastAsia="仿宋" w:cs="仿宋"/>
          <w:bCs/>
          <w:color w:val="000000"/>
          <w:sz w:val="32"/>
          <w:szCs w:val="32"/>
        </w:rPr>
      </w:pPr>
    </w:p>
    <w:p w14:paraId="3AD56FE9">
      <w:pPr>
        <w:spacing w:line="520" w:lineRule="exact"/>
        <w:jc w:val="left"/>
        <w:rPr>
          <w:rFonts w:hint="eastAsia" w:ascii="仿宋" w:hAnsi="仿宋" w:eastAsia="仿宋" w:cs="仿宋"/>
          <w:bCs/>
          <w:color w:val="000000"/>
          <w:sz w:val="32"/>
          <w:szCs w:val="32"/>
        </w:rPr>
      </w:pPr>
    </w:p>
    <w:p w14:paraId="57EC0CBC">
      <w:pPr>
        <w:spacing w:line="520" w:lineRule="exact"/>
        <w:jc w:val="left"/>
        <w:rPr>
          <w:rFonts w:hint="eastAsia" w:ascii="仿宋" w:hAnsi="仿宋" w:eastAsia="仿宋" w:cs="仿宋"/>
          <w:bCs/>
          <w:color w:val="000000"/>
          <w:sz w:val="32"/>
          <w:szCs w:val="32"/>
        </w:rPr>
      </w:pPr>
    </w:p>
    <w:p w14:paraId="1AEF2783">
      <w:pPr>
        <w:spacing w:line="520" w:lineRule="exact"/>
        <w:ind w:firstLine="4640" w:firstLineChars="1450"/>
        <w:jc w:val="left"/>
        <w:rPr>
          <w:rFonts w:hint="eastAsia" w:ascii="仿宋" w:hAnsi="仿宋" w:eastAsia="仿宋" w:cs="仿宋"/>
          <w:bCs/>
          <w:color w:val="000000"/>
          <w:sz w:val="32"/>
          <w:szCs w:val="32"/>
        </w:rPr>
      </w:pPr>
    </w:p>
    <w:p w14:paraId="25A5597A">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79343A60">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6506D1ED">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2025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 xml:space="preserve"> 1 </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 xml:space="preserve"> 9 </w:t>
      </w:r>
      <w:r>
        <w:rPr>
          <w:rFonts w:hint="eastAsia" w:ascii="仿宋" w:hAnsi="仿宋" w:eastAsia="仿宋" w:cs="仿宋"/>
          <w:bCs/>
          <w:color w:val="000000"/>
          <w:sz w:val="32"/>
          <w:szCs w:val="32"/>
        </w:rPr>
        <w:t>日</w:t>
      </w:r>
    </w:p>
    <w:p w14:paraId="2563E9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02A4E57B">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623B6C85">
      <w:pPr>
        <w:spacing w:line="300" w:lineRule="exact"/>
        <w:rPr>
          <w:rFonts w:hint="eastAsia" w:eastAsia="仿宋"/>
          <w:lang w:eastAsia="zh-CN"/>
        </w:rPr>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lang w:eastAsia="zh-CN"/>
        </w:rPr>
        <w:t>。</w:t>
      </w:r>
    </w:p>
    <w:p w14:paraId="23F23B19"/>
    <w:p w14:paraId="4D070FC1"/>
    <w:p w14:paraId="1C46ED1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04406"/>
    <w:rsid w:val="10FD0B73"/>
    <w:rsid w:val="2C504406"/>
    <w:rsid w:val="38BA68E9"/>
    <w:rsid w:val="39EC5609"/>
    <w:rsid w:val="3E8077C3"/>
    <w:rsid w:val="47963D42"/>
    <w:rsid w:val="5D823439"/>
    <w:rsid w:val="686B2044"/>
    <w:rsid w:val="783F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1633</Words>
  <Characters>1725</Characters>
  <Lines>0</Lines>
  <Paragraphs>0</Paragraphs>
  <TotalTime>4</TotalTime>
  <ScaleCrop>false</ScaleCrop>
  <LinksUpToDate>false</LinksUpToDate>
  <CharactersWithSpaces>1947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2024-12-12T01:04:00Z</dcterms:created>
  <dc:creator>Administrator</dc:creator>
  <cp:lastModifiedBy></cp:lastModifiedBy>
  <cp:lastPrinted>2025-01-02T02:28:00Z</cp:lastPrinted>
  <dcterms:modified xsi:type="dcterms:W3CDTF">2025-03-20T02:41:48Z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006967FA25AF4EEAAC9FE0A5A0488A02_13</vt:lpwstr>
  </property>
  <property fmtid="{D5CDD505-2E9C-101B-9397-08002B2CF9AE}" pid="4" name="KSOTemplateDocerSaveRecord">
    <vt:lpwstr>eyJoZGlkIjoiM2YyZTlkY2ViNWFmZDYyZGYwZjk2NWRiNGNhMjRmMzMiLCJ1c2VySWQiOiIyODg3NTQxMzcifQ==</vt:lpwstr>
  </property>
</Properties>
</file>