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AC871">
      <w:pPr>
        <w:keepNext w:val="0"/>
        <w:keepLines w:val="0"/>
        <w:pageBreakBefore w:val="0"/>
        <w:widowControl/>
        <w:shd w:val="clear" w:color="auto" w:fill="FFFFFF"/>
        <w:kinsoku/>
        <w:wordWrap/>
        <w:overflowPunct/>
        <w:topLinePunct w:val="0"/>
        <w:autoSpaceDE/>
        <w:autoSpaceDN/>
        <w:bidi w:val="0"/>
        <w:adjustRightInd/>
        <w:snapToGrid/>
        <w:spacing w:line="576" w:lineRule="exact"/>
        <w:ind w:firstLine="2200" w:firstLineChars="500"/>
        <w:jc w:val="both"/>
        <w:textAlignment w:val="auto"/>
        <w:rPr>
          <w:rFonts w:hint="eastAsia" w:ascii="方正小标宋简体" w:hAnsi="微软雅黑" w:eastAsia="方正小标宋简体" w:cs="宋体"/>
          <w:color w:val="333333"/>
          <w:kern w:val="0"/>
          <w:sz w:val="44"/>
          <w:szCs w:val="44"/>
          <w:lang w:val="en-US" w:eastAsia="zh-CN"/>
        </w:rPr>
      </w:pPr>
      <w:r>
        <w:rPr>
          <w:rFonts w:hint="eastAsia" w:ascii="方正小标宋简体" w:hAnsi="微软雅黑" w:eastAsia="方正小标宋简体" w:cs="宋体"/>
          <w:color w:val="333333"/>
          <w:kern w:val="0"/>
          <w:sz w:val="44"/>
          <w:szCs w:val="44"/>
          <w:lang w:val="en-US" w:eastAsia="zh-CN"/>
        </w:rPr>
        <w:t>临江市市场监督管理局</w:t>
      </w:r>
    </w:p>
    <w:p w14:paraId="19AFB4E3">
      <w:pPr>
        <w:keepNext w:val="0"/>
        <w:keepLines w:val="0"/>
        <w:pageBreakBefore w:val="0"/>
        <w:widowControl/>
        <w:shd w:val="clear" w:color="auto" w:fill="FFFFFF"/>
        <w:kinsoku/>
        <w:wordWrap/>
        <w:overflowPunct/>
        <w:topLinePunct w:val="0"/>
        <w:autoSpaceDE/>
        <w:autoSpaceDN/>
        <w:bidi w:val="0"/>
        <w:adjustRightInd/>
        <w:snapToGrid/>
        <w:spacing w:line="576" w:lineRule="exact"/>
        <w:jc w:val="center"/>
        <w:textAlignment w:val="auto"/>
        <w:rPr>
          <w:rFonts w:hint="eastAsia" w:ascii="仿宋_GB2312" w:hAnsi="仿宋_GB2312" w:eastAsia="仿宋_GB2312" w:cs="仿宋_GB2312"/>
          <w:color w:val="333333"/>
          <w:kern w:val="0"/>
          <w:lang w:eastAsia="zh-CN"/>
        </w:rPr>
      </w:pPr>
      <w:r>
        <w:rPr>
          <w:rFonts w:hint="eastAsia" w:ascii="方正小标宋简体" w:hAnsi="微软雅黑" w:eastAsia="方正小标宋简体" w:cs="宋体"/>
          <w:color w:val="333333"/>
          <w:kern w:val="0"/>
          <w:sz w:val="44"/>
          <w:szCs w:val="44"/>
          <w:lang w:val="en-US" w:eastAsia="zh-CN"/>
        </w:rPr>
        <w:t>2025</w:t>
      </w:r>
      <w:r>
        <w:rPr>
          <w:rFonts w:hint="eastAsia" w:ascii="方正小标宋简体" w:hAnsi="微软雅黑" w:eastAsia="方正小标宋简体" w:cs="宋体"/>
          <w:color w:val="333333"/>
          <w:kern w:val="0"/>
          <w:sz w:val="44"/>
          <w:szCs w:val="44"/>
        </w:rPr>
        <w:t>年度行政执法</w:t>
      </w:r>
      <w:r>
        <w:rPr>
          <w:rFonts w:hint="eastAsia" w:ascii="方正小标宋简体" w:hAnsi="微软雅黑" w:eastAsia="方正小标宋简体" w:cs="宋体"/>
          <w:color w:val="333333"/>
          <w:kern w:val="0"/>
          <w:sz w:val="44"/>
          <w:szCs w:val="44"/>
          <w:lang w:eastAsia="zh-CN"/>
        </w:rPr>
        <w:t>工作报告</w:t>
      </w:r>
      <w:r>
        <w:rPr>
          <w:rFonts w:ascii="微软雅黑" w:hAnsi="微软雅黑" w:eastAsia="微软雅黑" w:cs="宋体"/>
          <w:color w:val="333333"/>
          <w:kern w:val="0"/>
          <w:sz w:val="44"/>
          <w:szCs w:val="44"/>
        </w:rPr>
        <w:t xml:space="preserve"> </w:t>
      </w:r>
    </w:p>
    <w:p w14:paraId="3E8B653E">
      <w:pPr>
        <w:keepNext w:val="0"/>
        <w:keepLines w:val="0"/>
        <w:pageBreakBefore w:val="0"/>
        <w:widowControl/>
        <w:shd w:val="clear" w:color="auto" w:fill="FFFFFF"/>
        <w:kinsoku/>
        <w:wordWrap/>
        <w:topLinePunct w:val="0"/>
        <w:bidi w:val="0"/>
        <w:adjustRightInd/>
        <w:snapToGrid/>
        <w:spacing w:line="576" w:lineRule="exact"/>
        <w:ind w:firstLine="640" w:firstLineChars="200"/>
        <w:jc w:val="left"/>
        <w:textAlignment w:val="auto"/>
        <w:rPr>
          <w:rFonts w:hint="eastAsia" w:ascii="仿宋_GB2312" w:hAnsi="仿宋_GB2312" w:eastAsia="仿宋_GB2312" w:cs="仿宋_GB2312"/>
          <w:color w:val="333333"/>
          <w:kern w:val="0"/>
          <w:lang w:eastAsia="zh-CN"/>
        </w:rPr>
      </w:pPr>
    </w:p>
    <w:p w14:paraId="35C1B401">
      <w:pPr>
        <w:keepNext w:val="0"/>
        <w:keepLines w:val="0"/>
        <w:pageBreakBefore w:val="0"/>
        <w:widowControl w:val="0"/>
        <w:suppressLineNumbers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现将我单位2025年度行政执法工作报告如下。</w:t>
      </w:r>
    </w:p>
    <w:p w14:paraId="11D1AB0C">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一、行政处罚实施情况</w:t>
      </w:r>
    </w:p>
    <w:p w14:paraId="731F8D22">
      <w:pPr>
        <w:keepNext w:val="0"/>
        <w:keepLines w:val="0"/>
        <w:pageBreakBefore w:val="0"/>
        <w:widowControl w:val="0"/>
        <w:suppressLineNumbers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本单位2025年度行政处罚案件共立案53个，结案38个，移送司法机关2个，司法机关移送案件2个。不予处罚案件33个，减轻处罚案件13个，减轻金额24万余元。</w:t>
      </w:r>
    </w:p>
    <w:p w14:paraId="140F654D">
      <w:pPr>
        <w:keepNext w:val="0"/>
        <w:keepLines w:val="0"/>
        <w:pageBreakBefore w:val="0"/>
        <w:widowControl w:val="0"/>
        <w:suppressLineNumbers w:val="0"/>
        <w:kinsoku/>
        <w:wordWrap/>
        <w:overflowPunct w:val="0"/>
        <w:topLinePunct w:val="0"/>
        <w:autoSpaceDE w:val="0"/>
        <w:autoSpaceDN w:val="0"/>
        <w:bidi w:val="0"/>
        <w:adjustRightInd/>
        <w:snapToGrid/>
        <w:spacing w:line="576" w:lineRule="exact"/>
        <w:ind w:left="0" w:firstLine="640" w:firstLineChars="200"/>
        <w:jc w:val="both"/>
        <w:textAlignment w:val="auto"/>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共罚款1起、350元，其他1起、350元。没收违法所得、没收非法财务4起、17596元。暂扣或吊销许可证、暂扣和吊销执照1个。</w:t>
      </w:r>
    </w:p>
    <w:p w14:paraId="7E5268E8">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二、其他行政行为</w:t>
      </w:r>
    </w:p>
    <w:p w14:paraId="16CAC2E8">
      <w:pPr>
        <w:keepNext w:val="0"/>
        <w:keepLines w:val="0"/>
        <w:pageBreakBefore w:val="0"/>
        <w:widowControl/>
        <w:shd w:val="clear" w:color="auto" w:fill="FFFFFF"/>
        <w:kinsoku/>
        <w:wordWrap/>
        <w:topLinePunct w:val="0"/>
        <w:bidi w:val="0"/>
        <w:adjustRightInd/>
        <w:snapToGrid/>
        <w:spacing w:line="576" w:lineRule="exact"/>
        <w:ind w:firstLine="645"/>
        <w:jc w:val="left"/>
        <w:textAlignment w:val="auto"/>
        <w:rPr>
          <w:rFonts w:hint="default" w:ascii="仿宋" w:hAnsi="仿宋"/>
          <w:color w:val="333333"/>
          <w:kern w:val="0"/>
          <w:lang w:val="en-US" w:eastAsia="zh-CN"/>
        </w:rPr>
      </w:pPr>
      <w:r>
        <w:rPr>
          <w:rFonts w:hint="eastAsia" w:ascii="仿宋" w:hAnsi="仿宋" w:eastAsia="仿宋" w:cs="仿宋"/>
          <w:color w:val="000000"/>
          <w:sz w:val="32"/>
          <w:szCs w:val="32"/>
          <w:lang w:val="en-US" w:eastAsia="zh-CN"/>
        </w:rPr>
        <w:t>行政检查共21起。</w:t>
      </w:r>
    </w:p>
    <w:p w14:paraId="5327F14C">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三、行政执法设备及场所配备情况</w:t>
      </w:r>
    </w:p>
    <w:p w14:paraId="1874D4AA">
      <w:pPr>
        <w:keepNext w:val="0"/>
        <w:keepLines w:val="0"/>
        <w:pageBreakBefore w:val="0"/>
        <w:widowControl w:val="0"/>
        <w:suppressLineNumbers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本单位现有执法记录仪45个。</w:t>
      </w:r>
    </w:p>
    <w:p w14:paraId="7AA1217B">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四、主要举措和成效</w:t>
      </w:r>
    </w:p>
    <w:p w14:paraId="6C954E6F">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（一）深化法治学习，强化法治队伍建设</w:t>
      </w:r>
    </w:p>
    <w:p w14:paraId="65BD0298">
      <w:pPr>
        <w:keepNext w:val="0"/>
        <w:keepLines w:val="0"/>
        <w:pageBreakBefore w:val="0"/>
        <w:widowControl w:val="0"/>
        <w:suppressLineNumbers w:val="0"/>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楷体" w:hAnsi="楷体" w:eastAsia="楷体" w:cs="楷体"/>
          <w:color w:val="000000"/>
          <w:sz w:val="32"/>
          <w:szCs w:val="32"/>
          <w:lang w:val="en-US" w:eastAsia="zh-CN"/>
        </w:rPr>
      </w:pPr>
      <w:r>
        <w:rPr>
          <w:rFonts w:hint="eastAsia" w:ascii="仿宋" w:hAnsi="仿宋" w:eastAsia="仿宋" w:cs="仿宋"/>
          <w:b/>
          <w:bCs/>
          <w:color w:val="000000"/>
          <w:sz w:val="32"/>
          <w:szCs w:val="32"/>
          <w:lang w:val="en-US" w:eastAsia="zh-CN"/>
        </w:rPr>
        <w:t>1.深入学习贯彻落实习近平法治思想。</w:t>
      </w:r>
      <w:r>
        <w:rPr>
          <w:rFonts w:hint="eastAsia" w:ascii="仿宋" w:hAnsi="仿宋" w:eastAsia="仿宋" w:cs="仿宋"/>
          <w:color w:val="000000"/>
          <w:sz w:val="32"/>
          <w:szCs w:val="32"/>
          <w:lang w:val="en-US" w:eastAsia="zh-CN"/>
        </w:rPr>
        <w:t>始终把学习贯彻习近平法治思想作为市场监管法治建设的首要任务，将党的二十大、二十届三中、四中全会精神和习近平法治思想作为重点内容纳入党组理论学习中心组学习计划和干部法治培训计划，通过专题学习、网络培训等方式，引导带领干部职工深刻学习领会习近平法治思想的核心要义，提高干部职工运用习近平法治思想指导实践、推动工作的能力。</w:t>
      </w:r>
    </w:p>
    <w:p w14:paraId="4ED4C9EB">
      <w:pPr>
        <w:keepNext w:val="0"/>
        <w:keepLines w:val="0"/>
        <w:pageBreakBefore w:val="0"/>
        <w:widowControl w:val="0"/>
        <w:suppressLineNumbers w:val="0"/>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2.强化法治队伍建设。</w:t>
      </w:r>
      <w:r>
        <w:rPr>
          <w:rFonts w:hint="eastAsia" w:ascii="仿宋" w:hAnsi="仿宋" w:eastAsia="仿宋" w:cs="仿宋"/>
          <w:color w:val="000000"/>
          <w:sz w:val="32"/>
          <w:szCs w:val="32"/>
          <w:lang w:val="en-US" w:eastAsia="zh-CN"/>
        </w:rPr>
        <w:t>制定了《2025年干部法治培训学习计划》，组织执法人员通过参与网络培训课程、自学、集中学习等方式学习习近平法治思想、民法典、宪法等重点内容和相关法律法规，不断增强行政执法人员思想认识和法治意识，进一步提升依法行政水平。</w:t>
      </w:r>
    </w:p>
    <w:p w14:paraId="7499E4DA">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b/>
          <w:bCs/>
          <w:color w:val="000000"/>
          <w:sz w:val="32"/>
          <w:szCs w:val="32"/>
          <w:lang w:val="en-US" w:eastAsia="zh-CN"/>
        </w:rPr>
      </w:pPr>
      <w:r>
        <w:rPr>
          <w:rFonts w:hint="eastAsia" w:ascii="楷体" w:hAnsi="楷体" w:eastAsia="楷体" w:cs="楷体"/>
          <w:color w:val="000000"/>
          <w:sz w:val="32"/>
          <w:szCs w:val="32"/>
          <w:lang w:val="en-US" w:eastAsia="zh-CN"/>
        </w:rPr>
        <w:t>（二）强化市场监管，依法全面履职</w:t>
      </w:r>
    </w:p>
    <w:p w14:paraId="6A3679B6">
      <w:pPr>
        <w:keepNext w:val="0"/>
        <w:keepLines w:val="0"/>
        <w:pageBreakBefore w:val="0"/>
        <w:widowControl w:val="0"/>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1.深化“双随机、一公开”监管。</w:t>
      </w:r>
      <w:r>
        <w:rPr>
          <w:rFonts w:hint="eastAsia" w:ascii="仿宋" w:hAnsi="仿宋" w:eastAsia="仿宋" w:cs="仿宋"/>
          <w:color w:val="000000"/>
          <w:sz w:val="32"/>
          <w:szCs w:val="32"/>
          <w:lang w:val="en-US" w:eastAsia="zh-CN"/>
        </w:rPr>
        <w:t>切实履行牵头部门工作职责，不断研究、探索全市“双随机、一公开”监管工作新机制。印发了《关于做好2025年度“双随机、一公开”监管工作的通知》，要求各部门完善检查实施清单，统筹制定年度抽查计划，做好部门联合监管，推进风险分类管理，科学实施抽查检查，避免监管空白，合理确定抽查比例和抽查频次，进一步大力推进部门联合抽查检查工作。截至目前，全市共录入年度任务总数43个，其中部门内21个，跨部门22个，跨部门联合检查占比51.16%，完成率和公示率均为100%。</w:t>
      </w:r>
    </w:p>
    <w:p w14:paraId="79D9171B">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 w:hAnsi="仿宋" w:eastAsia="仿宋" w:cs="仿宋"/>
          <w:b/>
          <w:bCs/>
          <w:color w:val="000000"/>
          <w:sz w:val="32"/>
          <w:szCs w:val="32"/>
          <w:lang w:val="en-US" w:eastAsia="zh-CN"/>
        </w:rPr>
        <w:t>2.全面落实公平竞争审查制度机制。</w:t>
      </w:r>
      <w:r>
        <w:rPr>
          <w:rFonts w:hint="eastAsia" w:ascii="仿宋_GB2312" w:hAnsi="仿宋_GB2312" w:eastAsia="仿宋_GB2312" w:cs="仿宋_GB2312"/>
          <w:color w:val="000000"/>
          <w:sz w:val="32"/>
          <w:szCs w:val="32"/>
          <w:lang w:val="en-US" w:eastAsia="zh-CN"/>
        </w:rPr>
        <w:t>持续推进妨碍统一市场和公平竞争存量政策的清理废止工作，</w:t>
      </w:r>
      <w:r>
        <w:rPr>
          <w:rFonts w:hint="eastAsia" w:ascii="仿宋_GB2312" w:hAnsi="仿宋_GB2312" w:eastAsia="仿宋_GB2312" w:cs="仿宋_GB2312"/>
          <w:b w:val="0"/>
          <w:bCs w:val="0"/>
          <w:color w:val="000000"/>
          <w:sz w:val="32"/>
          <w:szCs w:val="32"/>
          <w:lang w:val="en-US" w:eastAsia="zh-CN"/>
        </w:rPr>
        <w:t>开展妨碍统一市场政策专项清理，对涉及市场主体经济活动的规范性文件、招标文件、合作协议等进行全面清理，对全市12份政策文件进行了审查，未发现存在限制竞争情况，出具审查报告4份，从源头上防止行政垄断和排除限制竞争行为，促进形成统一开放、竞争有序的市场体系。</w:t>
      </w:r>
    </w:p>
    <w:p w14:paraId="1FE67384">
      <w:pPr>
        <w:keepNext w:val="0"/>
        <w:keepLines w:val="0"/>
        <w:pageBreakBefore w:val="0"/>
        <w:widowControl w:val="0"/>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 w:hAnsi="仿宋" w:eastAsia="仿宋" w:cs="仿宋"/>
          <w:b/>
          <w:bCs/>
          <w:color w:val="000000"/>
          <w:sz w:val="32"/>
          <w:szCs w:val="32"/>
          <w:lang w:val="en-US" w:eastAsia="zh-CN"/>
        </w:rPr>
        <w:t>3.强化食品安全监管。</w:t>
      </w:r>
      <w:r>
        <w:rPr>
          <w:rFonts w:hint="eastAsia" w:ascii="仿宋_GB2312" w:hAnsi="仿宋_GB2312" w:eastAsia="仿宋_GB2312" w:cs="仿宋_GB2312"/>
          <w:color w:val="000000"/>
          <w:sz w:val="32"/>
          <w:szCs w:val="32"/>
          <w:lang w:val="en-US" w:eastAsia="zh-CN"/>
        </w:rPr>
        <w:t>坚持“四个最严”要求，统筹推进食品安全监管工作。持续强化食品安全风险防控和全过程监督检查，重点对校园周边、农村地区、冷藏食品等领域进行全面监督检查，开展了</w:t>
      </w:r>
      <w:r>
        <w:rPr>
          <w:rFonts w:hint="eastAsia" w:ascii="仿宋_GB2312" w:hAnsi="仿宋_GB2312" w:eastAsia="仿宋_GB2312" w:cs="仿宋_GB2312"/>
          <w:color w:val="000000"/>
          <w:sz w:val="32"/>
          <w:szCs w:val="32"/>
        </w:rPr>
        <w:t>农村假冒伪劣食品问题整治</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lang w:val="en-US" w:eastAsia="zh-CN"/>
        </w:rPr>
        <w:t>制售假劣肉制品专项整治行动，共计检查经营主体796户次，出动执法人员1500余人次，</w:t>
      </w:r>
      <w:r>
        <w:rPr>
          <w:rFonts w:hint="eastAsia" w:ascii="仿宋_GB2312" w:hAnsi="仿宋_GB2312" w:eastAsia="仿宋_GB2312" w:cs="仿宋_GB2312"/>
          <w:color w:val="000000"/>
          <w:sz w:val="32"/>
          <w:szCs w:val="32"/>
        </w:rPr>
        <w:t>发放宣传单、册</w:t>
      </w:r>
      <w:r>
        <w:rPr>
          <w:rFonts w:hint="eastAsia" w:ascii="仿宋_GB2312" w:hAnsi="仿宋_GB2312" w:eastAsia="仿宋_GB2312" w:cs="仿宋_GB2312"/>
          <w:color w:val="000000"/>
          <w:sz w:val="32"/>
          <w:szCs w:val="32"/>
          <w:lang w:val="en-US" w:eastAsia="zh-CN"/>
        </w:rPr>
        <w:t>200余</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完成了四轮全覆盖检查。</w:t>
      </w:r>
    </w:p>
    <w:p w14:paraId="67CF629A">
      <w:pPr>
        <w:keepNext w:val="0"/>
        <w:keepLines w:val="0"/>
        <w:pageBreakBefore w:val="0"/>
        <w:widowControl w:val="0"/>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楷体" w:hAnsi="楷体" w:eastAsia="楷体" w:cs="楷体"/>
          <w:b w:val="0"/>
          <w:bCs w:val="0"/>
          <w:color w:val="000000"/>
          <w:sz w:val="32"/>
          <w:szCs w:val="32"/>
          <w:highlight w:val="yellow"/>
          <w:lang w:val="en-US" w:eastAsia="zh-CN"/>
        </w:rPr>
      </w:pPr>
      <w:r>
        <w:rPr>
          <w:rFonts w:hint="eastAsia" w:ascii="仿宋" w:hAnsi="仿宋" w:eastAsia="仿宋" w:cs="仿宋"/>
          <w:b/>
          <w:bCs/>
          <w:color w:val="000000"/>
          <w:sz w:val="32"/>
          <w:szCs w:val="32"/>
          <w:lang w:val="en-US" w:eastAsia="zh-CN"/>
        </w:rPr>
        <w:t>4.强化药品安全监管。</w:t>
      </w:r>
      <w:r>
        <w:rPr>
          <w:rFonts w:hint="eastAsia" w:ascii="仿宋_GB2312" w:hAnsi="仿宋_GB2312" w:eastAsia="仿宋_GB2312" w:cs="仿宋_GB2312"/>
          <w:color w:val="000000"/>
          <w:sz w:val="32"/>
          <w:szCs w:val="32"/>
          <w:highlight w:val="none"/>
          <w:lang w:val="en-US" w:eastAsia="zh-CN"/>
        </w:rPr>
        <w:t>对</w:t>
      </w:r>
      <w:r>
        <w:rPr>
          <w:rFonts w:hint="eastAsia" w:ascii="仿宋_GB2312" w:hAnsi="仿宋_GB2312" w:eastAsia="仿宋_GB2312" w:cs="仿宋_GB2312"/>
          <w:color w:val="000000"/>
          <w:sz w:val="32"/>
          <w:szCs w:val="32"/>
          <w:lang w:eastAsia="zh-CN"/>
        </w:rPr>
        <w:t>全市</w:t>
      </w:r>
      <w:r>
        <w:rPr>
          <w:rFonts w:hint="eastAsia" w:ascii="仿宋_GB2312" w:hAnsi="仿宋_GB2312" w:eastAsia="仿宋_GB2312" w:cs="仿宋_GB2312"/>
          <w:color w:val="000000"/>
          <w:sz w:val="32"/>
          <w:szCs w:val="32"/>
          <w:lang w:val="en-US" w:eastAsia="zh-CN"/>
        </w:rPr>
        <w:t>102家</w:t>
      </w:r>
      <w:r>
        <w:rPr>
          <w:rFonts w:hint="eastAsia" w:ascii="仿宋_GB2312" w:hAnsi="仿宋_GB2312" w:eastAsia="仿宋_GB2312" w:cs="仿宋_GB2312"/>
          <w:color w:val="000000"/>
          <w:sz w:val="32"/>
          <w:szCs w:val="32"/>
          <w:lang w:eastAsia="zh-CN"/>
        </w:rPr>
        <w:t>药品经营企业</w:t>
      </w:r>
      <w:r>
        <w:rPr>
          <w:rFonts w:hint="eastAsia" w:ascii="仿宋_GB2312" w:hAnsi="仿宋_GB2312" w:eastAsia="仿宋_GB2312" w:cs="仿宋_GB2312"/>
          <w:color w:val="000000"/>
          <w:sz w:val="32"/>
          <w:szCs w:val="32"/>
          <w:lang w:val="en-US" w:eastAsia="zh-CN"/>
        </w:rPr>
        <w:t>18家医疗机构等进行了全覆盖检查。开展了药品经营环节“清源”行动、医疗器械风险隐患排查、网络销售药品医疗器械、医疗机构药品质量管理体系落实情况等专项检查行动，检查覆盖率达100%。</w:t>
      </w:r>
      <w:r>
        <w:rPr>
          <w:rFonts w:hint="eastAsia" w:ascii="仿宋_GB2312" w:hAnsi="仿宋_GB2312" w:eastAsia="仿宋_GB2312" w:cs="仿宋_GB2312"/>
          <w:color w:val="000000"/>
          <w:sz w:val="32"/>
          <w:szCs w:val="32"/>
        </w:rPr>
        <w:t>全力推进药品信息化追溯体系建设</w:t>
      </w:r>
      <w:r>
        <w:rPr>
          <w:rFonts w:hint="eastAsia" w:ascii="仿宋_GB2312" w:hAnsi="仿宋_GB2312" w:eastAsia="仿宋_GB2312" w:cs="仿宋_GB2312"/>
          <w:color w:val="000000"/>
          <w:sz w:val="32"/>
          <w:szCs w:val="32"/>
          <w:lang w:eastAsia="zh-CN"/>
        </w:rPr>
        <w:t>，我市</w:t>
      </w:r>
      <w:r>
        <w:rPr>
          <w:rFonts w:hint="eastAsia" w:ascii="仿宋_GB2312" w:hAnsi="仿宋_GB2312" w:eastAsia="仿宋_GB2312" w:cs="仿宋_GB2312"/>
          <w:color w:val="000000"/>
          <w:sz w:val="32"/>
          <w:szCs w:val="32"/>
          <w:lang w:val="en-US" w:eastAsia="zh-CN"/>
        </w:rPr>
        <w:t>102</w:t>
      </w:r>
      <w:r>
        <w:rPr>
          <w:rFonts w:hint="eastAsia" w:ascii="仿宋_GB2312" w:hAnsi="仿宋_GB2312" w:eastAsia="仿宋_GB2312" w:cs="仿宋_GB2312"/>
          <w:color w:val="000000"/>
          <w:sz w:val="32"/>
          <w:szCs w:val="32"/>
        </w:rPr>
        <w:t xml:space="preserve">家零售药店已全部入驻国家“码上放心”追溯平台，入驻率、授权率均达到 100%，上游企业出库单验证率稳定在 </w:t>
      </w:r>
      <w:r>
        <w:rPr>
          <w:rFonts w:hint="eastAsia" w:ascii="仿宋_GB2312" w:hAnsi="仿宋_GB2312" w:eastAsia="仿宋_GB2312" w:cs="仿宋_GB2312"/>
          <w:color w:val="000000"/>
          <w:sz w:val="32"/>
          <w:szCs w:val="32"/>
          <w:lang w:val="en-US" w:eastAsia="zh-CN"/>
        </w:rPr>
        <w:t>95</w:t>
      </w:r>
      <w:r>
        <w:rPr>
          <w:rFonts w:hint="eastAsia" w:ascii="仿宋_GB2312" w:hAnsi="仿宋_GB2312" w:eastAsia="仿宋_GB2312" w:cs="仿宋_GB2312"/>
          <w:color w:val="000000"/>
          <w:sz w:val="32"/>
          <w:szCs w:val="32"/>
        </w:rPr>
        <w:t>% 以上，实现了重点品种来源可查、去向可追。</w:t>
      </w:r>
    </w:p>
    <w:p w14:paraId="1934A035">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（三）规范执法行为，提升依法行政水平</w:t>
      </w:r>
    </w:p>
    <w:p w14:paraId="3A5BE947">
      <w:pPr>
        <w:keepNext w:val="0"/>
        <w:keepLines w:val="0"/>
        <w:pageBreakBefore w:val="0"/>
        <w:widowControl w:val="0"/>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highlight w:val="none"/>
          <w:lang w:val="en-US" w:eastAsia="zh-CN"/>
        </w:rPr>
        <w:t>1.全面落实行政执法“三项制度”。</w:t>
      </w:r>
      <w:r>
        <w:rPr>
          <w:rFonts w:hint="eastAsia" w:ascii="仿宋" w:hAnsi="仿宋" w:eastAsia="仿宋" w:cs="仿宋"/>
          <w:color w:val="000000"/>
          <w:sz w:val="32"/>
          <w:szCs w:val="32"/>
          <w:lang w:val="en-US" w:eastAsia="zh-CN"/>
        </w:rPr>
        <w:t>一是全面推行行政执法公示制度，强化事前、事中、事后公开，主动公示权责清单、执法事项清单、裁量依据、行政处罚信息等，全年无超期公示案件。二是全面推行执法全过程记录制度，</w:t>
      </w:r>
      <w:r>
        <w:rPr>
          <w:rFonts w:hint="eastAsia" w:ascii="仿宋" w:hAnsi="仿宋" w:eastAsia="仿宋" w:cs="仿宋"/>
          <w:color w:val="000000"/>
          <w:spacing w:val="0"/>
          <w:sz w:val="32"/>
          <w:szCs w:val="32"/>
          <w:lang w:val="en-US" w:eastAsia="zh-CN"/>
        </w:rPr>
        <w:t>更新现场检查记录文书模板，明确新版行政检查文书制作规范和要求，</w:t>
      </w:r>
      <w:r>
        <w:rPr>
          <w:rFonts w:hint="eastAsia" w:ascii="仿宋" w:hAnsi="仿宋" w:eastAsia="仿宋" w:cs="仿宋"/>
          <w:color w:val="000000"/>
          <w:sz w:val="32"/>
          <w:szCs w:val="32"/>
          <w:lang w:val="en-US" w:eastAsia="zh-CN"/>
        </w:rPr>
        <w:t>保障执法全过程文字记录完整、书写规范。三是全面落实重大行政执法决定法制审核制度。对重大行政处罚决定进行法制审核，未经审核的不得作出决定，2025年度共完成重大行政处罚法制审核6件，法制审核率达100%。</w:t>
      </w:r>
    </w:p>
    <w:p w14:paraId="12EA9D5A">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left="0" w:firstLine="643"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highlight w:val="none"/>
          <w:lang w:val="en-US" w:eastAsia="zh-CN"/>
        </w:rPr>
        <w:t>2.全面推行市场监管审慎包容监管。</w:t>
      </w:r>
      <w:r>
        <w:rPr>
          <w:rFonts w:hint="eastAsia" w:ascii="仿宋" w:hAnsi="仿宋" w:eastAsia="仿宋" w:cs="仿宋"/>
          <w:color w:val="000000"/>
          <w:sz w:val="32"/>
          <w:szCs w:val="32"/>
          <w:lang w:val="en-US" w:eastAsia="zh-CN"/>
        </w:rPr>
        <w:t>推动执法理念从</w:t>
      </w:r>
      <w:r>
        <w:rPr>
          <w:rFonts w:hint="default" w:ascii="仿宋" w:hAnsi="仿宋" w:eastAsia="仿宋" w:cs="仿宋"/>
          <w:color w:val="000000"/>
          <w:sz w:val="32"/>
          <w:szCs w:val="32"/>
          <w:lang w:val="en-US" w:eastAsia="zh-CN"/>
        </w:rPr>
        <w:t>“刚性</w:t>
      </w:r>
      <w:r>
        <w:rPr>
          <w:rFonts w:hint="eastAsia" w:ascii="仿宋" w:hAnsi="仿宋" w:eastAsia="仿宋" w:cs="仿宋"/>
          <w:color w:val="000000"/>
          <w:sz w:val="32"/>
          <w:szCs w:val="32"/>
          <w:lang w:val="en-US" w:eastAsia="zh-CN"/>
        </w:rPr>
        <w:t>监管</w:t>
      </w:r>
      <w:r>
        <w:rPr>
          <w:rFonts w:hint="default" w:ascii="仿宋" w:hAnsi="仿宋" w:eastAsia="仿宋" w:cs="仿宋"/>
          <w:color w:val="000000"/>
          <w:sz w:val="32"/>
          <w:szCs w:val="32"/>
          <w:lang w:val="en-US" w:eastAsia="zh-CN"/>
        </w:rPr>
        <w:t>”向“柔性服务”转变，将包容审慎</w:t>
      </w:r>
      <w:r>
        <w:rPr>
          <w:rFonts w:hint="eastAsia" w:ascii="仿宋" w:hAnsi="仿宋" w:eastAsia="仿宋" w:cs="仿宋"/>
          <w:color w:val="000000"/>
          <w:sz w:val="32"/>
          <w:szCs w:val="32"/>
          <w:lang w:val="en-US" w:eastAsia="zh-CN"/>
        </w:rPr>
        <w:t>监管</w:t>
      </w:r>
      <w:r>
        <w:rPr>
          <w:rFonts w:hint="default" w:ascii="仿宋" w:hAnsi="仿宋" w:eastAsia="仿宋" w:cs="仿宋"/>
          <w:color w:val="000000"/>
          <w:sz w:val="32"/>
          <w:szCs w:val="32"/>
          <w:lang w:val="en-US" w:eastAsia="zh-CN"/>
        </w:rPr>
        <w:t>贯穿</w:t>
      </w:r>
      <w:r>
        <w:rPr>
          <w:rFonts w:hint="eastAsia" w:ascii="仿宋" w:hAnsi="仿宋" w:eastAsia="仿宋" w:cs="仿宋"/>
          <w:color w:val="000000"/>
          <w:sz w:val="32"/>
          <w:szCs w:val="32"/>
          <w:lang w:val="en-US" w:eastAsia="zh-CN"/>
        </w:rPr>
        <w:t>行政</w:t>
      </w:r>
      <w:r>
        <w:rPr>
          <w:rFonts w:hint="default" w:ascii="仿宋" w:hAnsi="仿宋" w:eastAsia="仿宋" w:cs="仿宋"/>
          <w:color w:val="000000"/>
          <w:sz w:val="32"/>
          <w:szCs w:val="32"/>
          <w:lang w:val="en-US" w:eastAsia="zh-CN"/>
        </w:rPr>
        <w:t>执法全程，</w:t>
      </w:r>
      <w:r>
        <w:rPr>
          <w:rFonts w:hint="eastAsia" w:ascii="仿宋" w:hAnsi="仿宋" w:eastAsia="仿宋" w:cs="仿宋"/>
          <w:color w:val="000000"/>
          <w:sz w:val="32"/>
          <w:szCs w:val="32"/>
          <w:lang w:val="en-US" w:eastAsia="zh-CN"/>
        </w:rPr>
        <w:t>对非主观故意、未造成严重后果的轻微违法行为，优先运用普法宣传、行政指导、责令改正等柔性执法措施，引导经营主体自觉守法经营，切实实现监管与服务并重。2025年，我局共作出不予行政处罚案件30件，减轻行政处罚案件10件。</w:t>
      </w:r>
    </w:p>
    <w:p w14:paraId="0CFDAA06">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left="0" w:leftChars="0" w:firstLine="643"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highlight w:val="none"/>
          <w:lang w:val="en-US" w:eastAsia="zh-CN"/>
        </w:rPr>
        <w:t>3.强化执法人员资格和证件管理。</w:t>
      </w:r>
      <w:r>
        <w:rPr>
          <w:rFonts w:hint="eastAsia" w:ascii="仿宋" w:hAnsi="仿宋" w:eastAsia="仿宋" w:cs="仿宋"/>
          <w:color w:val="000000"/>
          <w:sz w:val="32"/>
          <w:szCs w:val="32"/>
          <w:lang w:val="en-US" w:eastAsia="zh-CN"/>
        </w:rPr>
        <w:t>全面实行执法人员持证上岗和资格管理制度，组织全局76名行政执法人员完成60课时的行政执法资格培训，确保做到“持证上岗、亮证执法”。</w:t>
      </w:r>
    </w:p>
    <w:p w14:paraId="3DFD9D02">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（四）强化执法监督，规范权力运行</w:t>
      </w:r>
    </w:p>
    <w:p w14:paraId="30158ECD">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beforeAutospacing="0" w:afterAutospacing="0" w:line="576" w:lineRule="exact"/>
        <w:ind w:left="0" w:firstLine="643" w:firstLineChars="200"/>
        <w:jc w:val="both"/>
        <w:textAlignment w:val="auto"/>
        <w:rPr>
          <w:rFonts w:hint="eastAsia" w:ascii="仿宋" w:hAnsi="仿宋" w:eastAsia="仿宋" w:cs="仿宋"/>
          <w:color w:val="000000"/>
          <w:spacing w:val="0"/>
          <w:sz w:val="32"/>
          <w:szCs w:val="32"/>
          <w:lang w:val="en-US" w:eastAsia="zh-CN"/>
        </w:rPr>
      </w:pPr>
      <w:r>
        <w:rPr>
          <w:rFonts w:hint="eastAsia" w:ascii="仿宋" w:hAnsi="仿宋" w:eastAsia="仿宋" w:cs="仿宋"/>
          <w:b/>
          <w:bCs/>
          <w:color w:val="000000"/>
          <w:sz w:val="32"/>
          <w:szCs w:val="32"/>
          <w:highlight w:val="none"/>
          <w:lang w:val="en-US" w:eastAsia="zh-CN"/>
        </w:rPr>
        <w:t>1.开展涉企行政执法专项整治行动。</w:t>
      </w:r>
      <w:r>
        <w:rPr>
          <w:rFonts w:hint="eastAsia" w:ascii="仿宋" w:hAnsi="仿宋" w:eastAsia="仿宋" w:cs="仿宋"/>
          <w:color w:val="000000"/>
          <w:sz w:val="32"/>
          <w:szCs w:val="32"/>
          <w:lang w:val="en-US" w:eastAsia="zh-CN"/>
        </w:rPr>
        <w:t>严格规范涉企行政执法行为，组织开展涉企行政执法领域重点问题专项整治，通过自查、发布公众号等方式广泛收集问题线索，共排查出问题2个，已全部整改完毕。开展行政执法现场监</w:t>
      </w:r>
      <w:r>
        <w:rPr>
          <w:rFonts w:hint="eastAsia" w:ascii="仿宋" w:hAnsi="仿宋" w:eastAsia="仿宋" w:cs="仿宋"/>
          <w:color w:val="000000"/>
          <w:spacing w:val="0"/>
          <w:sz w:val="32"/>
          <w:szCs w:val="32"/>
          <w:lang w:val="en-US" w:eastAsia="zh-CN"/>
        </w:rPr>
        <w:t>督检查2次、案卷评查工作4次，针对评查发现的执法文书书写不规范、案件描述不详细等问题，开展了执法文书培训会2次，通过以评促改的方式进一步得到提高执法办案的能力和水平。</w:t>
      </w:r>
    </w:p>
    <w:p w14:paraId="574D512D">
      <w:pPr>
        <w:keepNext w:val="0"/>
        <w:keepLines w:val="0"/>
        <w:pageBreakBefore w:val="0"/>
        <w:widowControl w:val="0"/>
        <w:numPr>
          <w:ilvl w:val="0"/>
          <w:numId w:val="0"/>
        </w:numPr>
        <w:suppressLineNumbers w:val="0"/>
        <w:kinsoku/>
        <w:wordWrap/>
        <w:overflowPunct w:val="0"/>
        <w:topLinePunct w:val="0"/>
        <w:autoSpaceDE w:val="0"/>
        <w:autoSpaceDN w:val="0"/>
        <w:bidi w:val="0"/>
        <w:adjustRightInd/>
        <w:snapToGrid/>
        <w:spacing w:beforeAutospacing="0" w:afterAutospacing="0" w:line="576" w:lineRule="exact"/>
        <w:ind w:left="0" w:firstLine="643" w:firstLineChars="200"/>
        <w:jc w:val="both"/>
        <w:textAlignment w:val="auto"/>
        <w:rPr>
          <w:rFonts w:hint="eastAsia" w:ascii="仿宋" w:hAnsi="仿宋" w:eastAsia="仿宋" w:cs="仿宋"/>
          <w:b/>
          <w:bCs/>
          <w:color w:val="000000"/>
          <w:sz w:val="32"/>
          <w:szCs w:val="32"/>
          <w:highlight w:val="none"/>
          <w:lang w:val="en-US" w:eastAsia="zh-CN"/>
        </w:rPr>
      </w:pPr>
      <w:r>
        <w:rPr>
          <w:rFonts w:hint="eastAsia" w:ascii="仿宋" w:hAnsi="仿宋" w:eastAsia="仿宋" w:cs="仿宋"/>
          <w:b/>
          <w:bCs/>
          <w:color w:val="000000"/>
          <w:spacing w:val="0"/>
          <w:sz w:val="32"/>
          <w:szCs w:val="32"/>
          <w:lang w:val="en-US" w:eastAsia="zh-CN"/>
        </w:rPr>
        <w:t>2.全面推行行政执法备案检查模式。</w:t>
      </w:r>
      <w:r>
        <w:rPr>
          <w:rFonts w:hint="eastAsia" w:ascii="仿宋" w:hAnsi="仿宋" w:eastAsia="仿宋" w:cs="仿宋"/>
          <w:color w:val="000000"/>
          <w:spacing w:val="0"/>
          <w:sz w:val="32"/>
          <w:szCs w:val="32"/>
          <w:lang w:val="en-US" w:eastAsia="zh-CN"/>
        </w:rPr>
        <w:t>梳理并公示“涉企行政检查事项清单”共16项，召开行政执法智能备案系统使用培训会，指导执法人员在现场检查过程中实现扫码入企、扫码检查的智能监管模式，推动涉企行政检查规范化、透明化。</w:t>
      </w:r>
    </w:p>
    <w:p w14:paraId="39AB956C">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楷体" w:hAnsi="楷体" w:eastAsia="楷体" w:cs="楷体"/>
          <w:color w:val="000000"/>
          <w:sz w:val="32"/>
          <w:szCs w:val="32"/>
          <w:lang w:val="en-US" w:eastAsia="zh-CN"/>
        </w:rPr>
      </w:pPr>
      <w:r>
        <w:rPr>
          <w:rFonts w:hint="eastAsia" w:ascii="楷体" w:hAnsi="楷体" w:eastAsia="楷体" w:cs="楷体"/>
          <w:color w:val="000000"/>
          <w:sz w:val="32"/>
          <w:szCs w:val="32"/>
          <w:lang w:val="en-US" w:eastAsia="zh-CN"/>
        </w:rPr>
        <w:t>（五）做好普法宣传教育，深化矛盾纠纷化解</w:t>
      </w:r>
    </w:p>
    <w:p w14:paraId="20D7569B">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全面贯彻落实“谁执法谁普法”“谁服务谁普法”责任制，制定并印发了《2025年普法依法治理工作要点》《2025年度普法工作计划》，确定重点普法内容，明确各部门普法任务，确保普法工作落到实处。结合315消费者权益日、民法典宣传月等重要时间节点，开展集中宣传、日常普法、“法律六进”等普法宣传活动20余次，与法院、检察院开展联合普法宣传2次，发放宣传资料1000余份。</w:t>
      </w:r>
    </w:p>
    <w:p w14:paraId="1C29A552">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2.规范行政复议和诉讼应诉工作，严格落实行政机关负责人出庭应诉制度，压实应诉责任，深度解析复议应诉案件，2025年度，我局共接收行政复议11件、行政诉讼1件，全部按期做好答复工作，无败诉案件。</w:t>
      </w:r>
    </w:p>
    <w:p w14:paraId="68BFAE06">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五、存在的不足和原因</w:t>
      </w:r>
    </w:p>
    <w:p w14:paraId="75F6BB09">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（一）执法人员法治素养有待提升。</w:t>
      </w:r>
      <w:r>
        <w:rPr>
          <w:rFonts w:hint="eastAsia" w:ascii="仿宋" w:hAnsi="仿宋" w:eastAsia="仿宋" w:cs="仿宋"/>
          <w:color w:val="000000"/>
          <w:kern w:val="0"/>
          <w:sz w:val="32"/>
          <w:szCs w:val="32"/>
          <w:lang w:val="en-US" w:eastAsia="zh-CN" w:bidi="ar"/>
        </w:rPr>
        <w:t>部分干部职工对法律法规的学习领悟不够系统深入，学法形式较为单一，专业能力有待进一步加强。</w:t>
      </w:r>
    </w:p>
    <w:p w14:paraId="73769A2F">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（二）运用法治方式解决问题的能力仍需进一步提高。</w:t>
      </w:r>
      <w:r>
        <w:rPr>
          <w:rFonts w:hint="eastAsia" w:ascii="仿宋" w:hAnsi="仿宋" w:eastAsia="仿宋" w:cs="仿宋"/>
          <w:color w:val="000000"/>
          <w:kern w:val="0"/>
          <w:sz w:val="32"/>
          <w:szCs w:val="32"/>
          <w:lang w:val="en-US" w:eastAsia="zh-CN" w:bidi="ar"/>
        </w:rPr>
        <w:t>部分干部运用法治思维和依法解决复杂问题的能力不足，在处理投诉举报、行政执法等工作中，对柔性执法、说理式执法运用不够充分，理论学习与执法实践结合不够紧密，学法成效未能充分转化为执法效能。</w:t>
      </w:r>
    </w:p>
    <w:p w14:paraId="284099C7">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val="0"/>
        <w:topLinePunct w:val="0"/>
        <w:autoSpaceDE w:val="0"/>
        <w:autoSpaceDN w:val="0"/>
        <w:bidi w:val="0"/>
        <w:adjustRightInd/>
        <w:snapToGrid/>
        <w:spacing w:before="0" w:beforeAutospacing="0" w:after="0" w:afterAutospacing="0" w:line="576" w:lineRule="exact"/>
        <w:ind w:left="0" w:right="0" w:firstLine="640" w:firstLineChars="200"/>
        <w:jc w:val="both"/>
        <w:textAlignment w:val="auto"/>
        <w:rPr>
          <w:rFonts w:hint="eastAsia" w:ascii="仿宋" w:hAnsi="仿宋" w:eastAsia="仿宋" w:cs="仿宋"/>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（三）智慧监管水平有待加强。</w:t>
      </w:r>
      <w:r>
        <w:rPr>
          <w:rFonts w:hint="eastAsia" w:ascii="仿宋" w:hAnsi="仿宋" w:eastAsia="仿宋" w:cs="仿宋"/>
          <w:color w:val="000000"/>
          <w:kern w:val="0"/>
          <w:sz w:val="32"/>
          <w:szCs w:val="32"/>
          <w:lang w:val="en-US" w:eastAsia="zh-CN" w:bidi="ar"/>
        </w:rPr>
        <w:t>新业态、新模式带来的监管挑战日益增多，现阶段线上监管系统有待完善，执法人员运用线上监管系统熟练度不足，仍习惯于采用传统监管模式，部分年龄较大的执法人员存在“数字鸿沟”。</w:t>
      </w:r>
    </w:p>
    <w:p w14:paraId="63E7DE8C">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六、党政主要负责人履行推进法治建设第一责任人职责情况</w:t>
      </w:r>
    </w:p>
    <w:p w14:paraId="06C24AA3">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认真贯彻落实《关于党政主要负责人履行推进法治建设第一责任人职责规定》，</w:t>
      </w:r>
      <w:r>
        <w:rPr>
          <w:rFonts w:hint="eastAsia" w:ascii="仿宋" w:hAnsi="仿宋" w:eastAsia="仿宋" w:cs="仿宋"/>
          <w:color w:val="000000"/>
          <w:sz w:val="32"/>
          <w:szCs w:val="32"/>
          <w:lang w:eastAsia="zh-CN"/>
        </w:rPr>
        <w:t>完善</w:t>
      </w:r>
      <w:r>
        <w:rPr>
          <w:rFonts w:hint="eastAsia" w:ascii="仿宋" w:hAnsi="仿宋" w:eastAsia="仿宋" w:cs="仿宋"/>
          <w:color w:val="000000"/>
          <w:sz w:val="32"/>
          <w:szCs w:val="32"/>
        </w:rPr>
        <w:t>依法治市工作领导小组和法治建设领导小组，明确党组书记</w:t>
      </w:r>
      <w:r>
        <w:rPr>
          <w:rFonts w:hint="eastAsia" w:ascii="仿宋" w:hAnsi="仿宋" w:eastAsia="仿宋" w:cs="仿宋"/>
          <w:color w:val="000000"/>
          <w:sz w:val="32"/>
          <w:szCs w:val="32"/>
          <w:lang w:eastAsia="zh-CN"/>
        </w:rPr>
        <w:t>、局长</w:t>
      </w:r>
      <w:r>
        <w:rPr>
          <w:rFonts w:hint="eastAsia" w:ascii="仿宋" w:hAnsi="仿宋" w:eastAsia="仿宋" w:cs="仿宋"/>
          <w:color w:val="000000"/>
          <w:sz w:val="32"/>
          <w:szCs w:val="32"/>
        </w:rPr>
        <w:t>为法治建设第一责任人，做到重要工作亲自部署、重大问题亲自过问、重点环节亲自协调、重要任务亲自督办。</w:t>
      </w:r>
    </w:p>
    <w:p w14:paraId="641B79AB">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eastAsia="zh-CN"/>
        </w:rPr>
        <w:t>局党组定期召开</w:t>
      </w:r>
      <w:r>
        <w:rPr>
          <w:rFonts w:hint="eastAsia" w:ascii="仿宋" w:hAnsi="仿宋" w:eastAsia="仿宋" w:cs="仿宋"/>
          <w:color w:val="000000"/>
          <w:sz w:val="32"/>
          <w:szCs w:val="32"/>
        </w:rPr>
        <w:t>党组会议</w:t>
      </w:r>
      <w:r>
        <w:rPr>
          <w:rFonts w:hint="eastAsia" w:ascii="仿宋" w:hAnsi="仿宋" w:eastAsia="仿宋" w:cs="仿宋"/>
          <w:color w:val="000000"/>
          <w:sz w:val="32"/>
          <w:szCs w:val="32"/>
          <w:lang w:eastAsia="zh-CN"/>
        </w:rPr>
        <w:t>和</w:t>
      </w:r>
      <w:r>
        <w:rPr>
          <w:rFonts w:hint="eastAsia" w:ascii="仿宋" w:hAnsi="仿宋" w:eastAsia="仿宋" w:cs="仿宋"/>
          <w:color w:val="000000"/>
          <w:sz w:val="32"/>
          <w:szCs w:val="32"/>
          <w:lang w:val="en-US" w:eastAsia="zh-CN"/>
        </w:rPr>
        <w:t>法治建设工作会议，研究解决法治政府建设工作中遇到的重点难点问题，推动法治政府建设各项任务落地落实。</w:t>
      </w:r>
    </w:p>
    <w:p w14:paraId="58F17FC9">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七、下一步工作打算</w:t>
      </w:r>
    </w:p>
    <w:p w14:paraId="2BE85854">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2026年是“十五五”规划开局之年，市场监督管理局将坚持以习近平新时代中国特色社会主义思想和习近平法治思想为指导，重点做好以下工作：</w:t>
      </w:r>
    </w:p>
    <w:p w14:paraId="12FB952D">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（一）提升执法队伍法治素养。</w:t>
      </w:r>
      <w:r>
        <w:rPr>
          <w:rFonts w:hint="eastAsia" w:ascii="仿宋" w:hAnsi="仿宋" w:eastAsia="仿宋" w:cs="仿宋"/>
          <w:color w:val="000000"/>
          <w:sz w:val="32"/>
          <w:szCs w:val="32"/>
          <w:lang w:val="en-US" w:eastAsia="zh-CN"/>
        </w:rPr>
        <w:t>将学习贯彻习近平法治思想作为长期政治任务，持续开展宪法、民法典和市场监管法律法规学习，提升队伍法治素养，筑牢依法行政根基。</w:t>
      </w:r>
    </w:p>
    <w:p w14:paraId="79FBE3BB">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（二）坚决守牢安全监管底线。</w:t>
      </w:r>
      <w:r>
        <w:rPr>
          <w:rFonts w:hint="eastAsia" w:ascii="仿宋" w:hAnsi="仿宋" w:eastAsia="仿宋" w:cs="仿宋"/>
          <w:color w:val="000000"/>
          <w:sz w:val="32"/>
          <w:szCs w:val="32"/>
          <w:lang w:val="en-US" w:eastAsia="zh-CN"/>
        </w:rPr>
        <w:t>以“四个最严”要求持续强化“三品一特”全链条监管，聚焦重点领域开展专项整治，加大违法惩处力度，推进风险隐患排查整治常态化、制度化。</w:t>
      </w:r>
    </w:p>
    <w:p w14:paraId="1B3E89C3">
      <w:pPr>
        <w:keepNext w:val="0"/>
        <w:keepLines w:val="0"/>
        <w:pageBreakBefore w:val="0"/>
        <w:widowControl w:val="0"/>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（三）持续规范行政执法行为。</w:t>
      </w:r>
      <w:r>
        <w:rPr>
          <w:rFonts w:hint="eastAsia" w:ascii="仿宋" w:hAnsi="仿宋" w:eastAsia="仿宋" w:cs="仿宋"/>
          <w:color w:val="000000"/>
          <w:sz w:val="32"/>
          <w:szCs w:val="32"/>
          <w:lang w:val="en-US" w:eastAsia="zh-CN"/>
        </w:rPr>
        <w:t>持续深化“双随机、一公开”监管，强化信用监管和智慧监管应用，严格落实行政执法“三项制度”，加大执法监督力度，重点规范行政执法行为，推进依法行政。</w:t>
      </w:r>
    </w:p>
    <w:p w14:paraId="385DB12A">
      <w:pPr>
        <w:keepNext w:val="0"/>
        <w:keepLines w:val="0"/>
        <w:pageBreakBefore w:val="0"/>
        <w:widowControl w:val="0"/>
        <w:numPr>
          <w:ilvl w:val="0"/>
          <w:numId w:val="0"/>
        </w:numPr>
        <w:kinsoku/>
        <w:wordWrap/>
        <w:overflowPunct w:val="0"/>
        <w:topLinePunct w:val="0"/>
        <w:autoSpaceDE w:val="0"/>
        <w:autoSpaceDN w:val="0"/>
        <w:bidi w:val="0"/>
        <w:adjustRightInd/>
        <w:snapToGrid/>
        <w:spacing w:line="576" w:lineRule="exact"/>
        <w:ind w:left="0" w:firstLine="640" w:firstLineChars="200"/>
        <w:jc w:val="both"/>
        <w:textAlignment w:val="auto"/>
        <w:rPr>
          <w:rFonts w:hint="eastAsia" w:ascii="仿宋" w:hAnsi="仿宋" w:eastAsia="仿宋" w:cs="仿宋"/>
          <w:color w:val="000000"/>
          <w:sz w:val="32"/>
          <w:szCs w:val="32"/>
          <w:lang w:val="en-US" w:eastAsia="zh-CN"/>
        </w:rPr>
      </w:pPr>
      <w:r>
        <w:rPr>
          <w:rFonts w:hint="eastAsia" w:ascii="楷体" w:hAnsi="楷体" w:eastAsia="楷体" w:cs="楷体"/>
          <w:color w:val="000000"/>
          <w:sz w:val="32"/>
          <w:szCs w:val="32"/>
          <w:lang w:val="en-US" w:eastAsia="zh-CN"/>
        </w:rPr>
        <w:t>（四）谋好“九五普法”开局。</w:t>
      </w:r>
      <w:r>
        <w:rPr>
          <w:rFonts w:hint="eastAsia" w:ascii="仿宋" w:hAnsi="仿宋" w:eastAsia="仿宋" w:cs="仿宋"/>
          <w:color w:val="000000"/>
          <w:sz w:val="32"/>
          <w:szCs w:val="32"/>
          <w:lang w:val="en-US" w:eastAsia="zh-CN"/>
        </w:rPr>
        <w:t>科学谋划“九五”普法工作规划，聚焦重点领域和关键环节，充分利用新媒体开展“互联网＋普法”，深化“法律进企业”活动，提升普法实效性和影响力。</w:t>
      </w:r>
    </w:p>
    <w:p w14:paraId="40B4E2A2">
      <w:pPr>
        <w:keepNext w:val="0"/>
        <w:keepLines w:val="0"/>
        <w:pageBreakBefore w:val="0"/>
        <w:widowControl/>
        <w:shd w:val="clear" w:color="auto" w:fill="FFFFFF"/>
        <w:kinsoku/>
        <w:wordWrap/>
        <w:topLinePunct w:val="0"/>
        <w:bidi w:val="0"/>
        <w:adjustRightInd/>
        <w:snapToGrid/>
        <w:spacing w:line="576" w:lineRule="exact"/>
        <w:ind w:firstLine="645"/>
        <w:jc w:val="left"/>
        <w:textAlignment w:val="auto"/>
        <w:rPr>
          <w:rFonts w:hint="eastAsia" w:ascii="仿宋" w:hAnsi="仿宋"/>
          <w:color w:val="333333"/>
          <w:kern w:val="0"/>
          <w:lang w:val="en-US" w:eastAsia="zh-CN"/>
        </w:rPr>
      </w:pPr>
    </w:p>
    <w:p w14:paraId="32207CAB">
      <w:pPr>
        <w:keepNext w:val="0"/>
        <w:keepLines w:val="0"/>
        <w:pageBreakBefore w:val="0"/>
        <w:widowControl/>
        <w:shd w:val="clear" w:color="auto" w:fill="FFFFFF"/>
        <w:kinsoku/>
        <w:wordWrap/>
        <w:topLinePunct w:val="0"/>
        <w:bidi w:val="0"/>
        <w:adjustRightInd/>
        <w:snapToGrid/>
        <w:spacing w:line="576" w:lineRule="exact"/>
        <w:ind w:firstLine="645"/>
        <w:jc w:val="right"/>
        <w:textAlignment w:val="auto"/>
        <w:rPr>
          <w:rFonts w:hint="eastAsia" w:ascii="仿宋" w:hAnsi="仿宋"/>
          <w:color w:val="333333"/>
          <w:kern w:val="0"/>
          <w:lang w:val="en-US" w:eastAsia="zh-CN"/>
        </w:rPr>
      </w:pPr>
      <w:r>
        <w:rPr>
          <w:rFonts w:hint="eastAsia" w:ascii="仿宋" w:hAnsi="仿宋"/>
          <w:color w:val="333333"/>
          <w:kern w:val="0"/>
          <w:lang w:val="en-US" w:eastAsia="zh-CN"/>
        </w:rPr>
        <w:t>临江市市场监督管理局</w:t>
      </w:r>
    </w:p>
    <w:p w14:paraId="77404013">
      <w:pPr>
        <w:keepNext w:val="0"/>
        <w:keepLines w:val="0"/>
        <w:pageBreakBefore w:val="0"/>
        <w:widowControl/>
        <w:shd w:val="clear" w:color="auto" w:fill="FFFFFF"/>
        <w:kinsoku/>
        <w:wordWrap/>
        <w:topLinePunct w:val="0"/>
        <w:bidi w:val="0"/>
        <w:adjustRightInd/>
        <w:snapToGrid/>
        <w:spacing w:line="576" w:lineRule="exact"/>
        <w:ind w:firstLine="645"/>
        <w:jc w:val="center"/>
        <w:textAlignment w:val="auto"/>
        <w:rPr>
          <w:rFonts w:hint="default" w:ascii="仿宋" w:hAnsi="仿宋"/>
          <w:color w:val="333333"/>
          <w:kern w:val="0"/>
          <w:lang w:val="en-US" w:eastAsia="zh-CN"/>
        </w:rPr>
      </w:pPr>
      <w:r>
        <w:rPr>
          <w:rFonts w:hint="eastAsia" w:ascii="仿宋" w:hAnsi="仿宋"/>
          <w:color w:val="333333"/>
          <w:kern w:val="0"/>
          <w:lang w:val="en-US" w:eastAsia="zh-CN"/>
        </w:rPr>
        <w:t xml:space="preserve">                               </w:t>
      </w:r>
      <w:bookmarkStart w:id="0" w:name="_GoBack"/>
      <w:bookmarkEnd w:id="0"/>
      <w:r>
        <w:rPr>
          <w:rFonts w:hint="eastAsia" w:ascii="仿宋" w:hAnsi="仿宋"/>
          <w:color w:val="333333"/>
          <w:kern w:val="0"/>
          <w:lang w:val="en-US" w:eastAsia="zh-CN"/>
        </w:rPr>
        <w:t>2026年1月30日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356FF5"/>
    <w:rsid w:val="00AC291F"/>
    <w:rsid w:val="0532605E"/>
    <w:rsid w:val="08EC1F21"/>
    <w:rsid w:val="09B4533A"/>
    <w:rsid w:val="0C8D3FB8"/>
    <w:rsid w:val="0D010EE5"/>
    <w:rsid w:val="1F396204"/>
    <w:rsid w:val="32EC322D"/>
    <w:rsid w:val="35ED003B"/>
    <w:rsid w:val="3F1E263E"/>
    <w:rsid w:val="431A30B2"/>
    <w:rsid w:val="4A72285F"/>
    <w:rsid w:val="6AB47F19"/>
    <w:rsid w:val="6CD3368A"/>
    <w:rsid w:val="6D356FF5"/>
    <w:rsid w:val="79456BE0"/>
    <w:rsid w:val="7BB879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32"/>
      <w:szCs w:val="32"/>
      <w:lang w:val="en-US" w:eastAsia="zh-CN" w:bidi="ar-SA"/>
    </w:rPr>
  </w:style>
  <w:style w:type="paragraph" w:styleId="2">
    <w:name w:val="heading 1"/>
    <w:basedOn w:val="1"/>
    <w:next w:val="1"/>
    <w:link w:val="9"/>
    <w:qFormat/>
    <w:uiPriority w:val="0"/>
    <w:pPr>
      <w:keepNext/>
      <w:keepLines/>
      <w:spacing w:before="340" w:beforeLines="0" w:beforeAutospacing="0" w:after="330" w:afterLines="0" w:afterAutospacing="0" w:line="576" w:lineRule="auto"/>
      <w:jc w:val="center"/>
      <w:outlineLvl w:val="0"/>
    </w:pPr>
    <w:rPr>
      <w:rFonts w:eastAsia="方正小标宋简体" w:asciiTheme="minorAscii" w:hAnsiTheme="minorAscii"/>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ind w:firstLine="640" w:firstLineChars="200"/>
      <w:outlineLvl w:val="1"/>
    </w:pPr>
    <w:rPr>
      <w:rFonts w:ascii="Arial" w:hAnsi="Arial" w:eastAsia="黑体"/>
      <w:b/>
      <w:sz w:val="32"/>
    </w:rPr>
  </w:style>
  <w:style w:type="paragraph" w:styleId="4">
    <w:name w:val="heading 3"/>
    <w:basedOn w:val="1"/>
    <w:next w:val="1"/>
    <w:link w:val="8"/>
    <w:semiHidden/>
    <w:unhideWhenUsed/>
    <w:qFormat/>
    <w:uiPriority w:val="0"/>
    <w:pPr>
      <w:keepNext/>
      <w:keepLines/>
      <w:spacing w:beforeLines="0" w:beforeAutospacing="0" w:afterLines="0" w:afterAutospacing="0" w:line="560" w:lineRule="exact"/>
      <w:outlineLvl w:val="2"/>
    </w:pPr>
    <w:rPr>
      <w:rFonts w:eastAsia="楷体_GB2312" w:asciiTheme="minorAscii" w:hAnsiTheme="minorAscii"/>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 w:type="character" w:customStyle="1" w:styleId="8">
    <w:name w:val="标题 3 Char"/>
    <w:link w:val="4"/>
    <w:qFormat/>
    <w:uiPriority w:val="0"/>
    <w:rPr>
      <w:rFonts w:eastAsia="楷体_GB2312" w:asciiTheme="minorAscii" w:hAnsiTheme="minorAscii"/>
      <w:sz w:val="32"/>
    </w:rPr>
  </w:style>
  <w:style w:type="character" w:customStyle="1" w:styleId="9">
    <w:name w:val="标题 1 Char"/>
    <w:link w:val="2"/>
    <w:qFormat/>
    <w:uiPriority w:val="0"/>
    <w:rPr>
      <w:rFonts w:eastAsia="方正小标宋简体" w:asciiTheme="minorAscii" w:hAnsiTheme="minorAscii"/>
      <w:kern w:val="44"/>
      <w:sz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3246</Words>
  <Characters>3354</Characters>
  <Lines>0</Lines>
  <Paragraphs>0</Paragraphs>
  <TotalTime>8</TotalTime>
  <ScaleCrop>false</ScaleCrop>
  <LinksUpToDate>false</LinksUpToDate>
  <CharactersWithSpaces>3358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2026-01-29T02:36:00Z</dcterms:created>
  <dc:creator>风呼呼兮</dc:creator>
  <cp:lastModifiedBy></cp:lastModifiedBy>
  <dcterms:modified xsi:type="dcterms:W3CDTF">2026-01-30T05:32:53Z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6AA9B202F68A4361A09A06F39AE8F4BD_13</vt:lpwstr>
  </property>
  <property fmtid="{D5CDD505-2E9C-101B-9397-08002B2CF9AE}" pid="4" name="KSOTemplateDocerSaveRecord">
    <vt:lpwstr>eyJoZGlkIjoiM2YyZTlkY2ViNWFmZDYyZGYwZjk2NWRiNGNhMjRmMzMiLCJ1c2VySWQiOiIyODg3NTQxMzcifQ==</vt:lpwstr>
  </property>
</Properties>
</file>