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eastAsia="zh-CN"/>
        </w:rPr>
        <w:t>临江市委统战部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年度行政执法统计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eastAsia="zh-CN"/>
        </w:rPr>
        <w:t>临江市委统战部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  <w:bookmarkStart w:id="0" w:name="_GoBack"/>
      <w:bookmarkEnd w:id="0"/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临江市委统战部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both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第一部分 临江市委统战部2023年度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行政执法数据表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临江市委统战部2023年度行政处罚实施情况统计表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9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临江市委统战部2023年度行政许可实施情况统计表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临江市委统战部2023年度行政强制实施情况统计表</w:t>
      </w:r>
    </w:p>
    <w:tbl>
      <w:tblPr>
        <w:tblStyle w:val="9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4"/>
        <w:gridCol w:w="702"/>
        <w:gridCol w:w="685"/>
        <w:gridCol w:w="736"/>
        <w:gridCol w:w="702"/>
        <w:gridCol w:w="1507"/>
        <w:gridCol w:w="803"/>
        <w:gridCol w:w="457"/>
        <w:gridCol w:w="585"/>
        <w:gridCol w:w="68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临江市委统战部2023年度其他行政执法行为实施情况统计表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9"/>
        <w:gridCol w:w="660"/>
        <w:gridCol w:w="469"/>
        <w:gridCol w:w="698"/>
        <w:gridCol w:w="457"/>
        <w:gridCol w:w="1199"/>
        <w:gridCol w:w="660"/>
        <w:gridCol w:w="469"/>
        <w:gridCol w:w="119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2"/>
                <w:rFonts w:hint="eastAsia" w:ascii="仿宋" w:hAnsi="仿宋" w:eastAsia="仿宋"/>
                <w:color w:val="333333"/>
              </w:rPr>
              <w:t>涉及金额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2"/>
                <w:rFonts w:hint="eastAsia" w:ascii="仿宋" w:hAnsi="仿宋" w:eastAsia="仿宋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第二部分 临江市委统战部2023年度行政执法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2YwOTRjNTllOGVhOTU3MGVlYjJkNGFjYWY2ZTUifQ=="/>
  </w:docVars>
  <w:rsids>
    <w:rsidRoot w:val="1D6044C9"/>
    <w:rsid w:val="01150CE5"/>
    <w:rsid w:val="01E42C7E"/>
    <w:rsid w:val="02647BF9"/>
    <w:rsid w:val="027C3382"/>
    <w:rsid w:val="028B5457"/>
    <w:rsid w:val="06B807E5"/>
    <w:rsid w:val="06E358E9"/>
    <w:rsid w:val="08EC1F21"/>
    <w:rsid w:val="0A2C74AD"/>
    <w:rsid w:val="12C94D9D"/>
    <w:rsid w:val="133A105E"/>
    <w:rsid w:val="15FA27BA"/>
    <w:rsid w:val="1B027F11"/>
    <w:rsid w:val="1D6044C9"/>
    <w:rsid w:val="1D7D1D7D"/>
    <w:rsid w:val="20453D48"/>
    <w:rsid w:val="21C047A5"/>
    <w:rsid w:val="21FB4917"/>
    <w:rsid w:val="259F0BC1"/>
    <w:rsid w:val="26D058A7"/>
    <w:rsid w:val="29240CB7"/>
    <w:rsid w:val="2BAB6CDC"/>
    <w:rsid w:val="2C5A58D1"/>
    <w:rsid w:val="32EC322D"/>
    <w:rsid w:val="33F22ACC"/>
    <w:rsid w:val="35DF4119"/>
    <w:rsid w:val="372E4027"/>
    <w:rsid w:val="38B9705C"/>
    <w:rsid w:val="38DB7B11"/>
    <w:rsid w:val="3A1219DE"/>
    <w:rsid w:val="3C211DCF"/>
    <w:rsid w:val="3E79027E"/>
    <w:rsid w:val="402B4A0B"/>
    <w:rsid w:val="4183487A"/>
    <w:rsid w:val="431A30B2"/>
    <w:rsid w:val="45AB5068"/>
    <w:rsid w:val="48A66EB4"/>
    <w:rsid w:val="4AC85B5D"/>
    <w:rsid w:val="572F1517"/>
    <w:rsid w:val="576E5901"/>
    <w:rsid w:val="57853398"/>
    <w:rsid w:val="59C36FD2"/>
    <w:rsid w:val="5F58014E"/>
    <w:rsid w:val="5F6146B0"/>
    <w:rsid w:val="62EB3C8F"/>
    <w:rsid w:val="78635FD0"/>
    <w:rsid w:val="789E5954"/>
    <w:rsid w:val="7A2C5A30"/>
    <w:rsid w:val="7B914152"/>
    <w:rsid w:val="7F0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link w:val="4"/>
    <w:autoRedefine/>
    <w:qFormat/>
    <w:uiPriority w:val="0"/>
    <w:rPr>
      <w:rFonts w:eastAsia="楷体_GB2312" w:asciiTheme="minorAscii" w:hAnsiTheme="minorAscii"/>
      <w:sz w:val="32"/>
    </w:rPr>
  </w:style>
  <w:style w:type="character" w:customStyle="1" w:styleId="12">
    <w:name w:val="15"/>
    <w:basedOn w:val="10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2024-01-11T02:25:00Z</dcterms:created>
  <dc:creator>风呼呼兮</dc:creator>
  <cp:lastModifiedBy>千钧一发</cp:lastModifiedBy>
  <dcterms:modified xsi:type="dcterms:W3CDTF">2024-01-18T07:58:30Z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02F0D4B8C3504052853C7D35D06FA5CF_13</vt:lpwstr>
  </property>
</Properties>
</file>